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AGREEMENT is made and entered into as of this 30th day of April, 2024, by and between Catalyst Strategic Income Opportunities Fund, a Delaware statutory trust (the “Fund”) and Foreside Fund Services, LLC, a Delaware limited liability company (the “Distributor”).</w:t>
        <w:br/>
        <w:t xml:space="preserve">  WHEREAS, the Fund is registered under the Investment Company Act of 1940, as amended (the “1940 Act”), as a continuously offered, non-diversified closed-end management investment company and operates as an interval fund, and is authorized to issue Shares of beneficial interest (“Shares”);</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and its disinterested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 xml:space="preserve">  B.       During the public offering of Shares of the Fund, the Distributor shall use commercially reasonable efforts to distribute the Shares. All orders for Shares shall be made</w:t>
        <w:br/>
        <w:t xml:space="preserv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to the Fund any comments provided by regulators with respect to such materials.</w:t>
        <w:br/>
        <w:t xml:space="preserve">  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w:t>
        <w:br/>
        <w:t xml:space="preserve">  J.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the Registration Statement and Prospectus and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Securities and Exchange Commission (“SEC”) or its staff relating to the Fund,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not misleading;</w:t>
        <w:br/>
        <w:t xml:space="preserve">  (iv) of all actions taken by the SEC with respect to any amendments to any Registration Statement or Prospectus which may from time to time be filed with the SEC;</w:t>
        <w:br/>
        <w:t xml:space="preserve">  (v) 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(vi) of the commencement of any litigation or proceedings against the Fund or any of their officers or directors in connection with the issue and sale of any of the Shares.</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Fund shall fully cooperate in the efforts of the Distributor to arrange for the distribution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business day of any such filings. The Fund represents that it will not use or authorize the use of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Distributor’s services in connection with the distribution of Shares of the Fund, Distributor shall receive the compensation set forth in Exhibit A.</w:t>
        <w:br/>
        <w:t xml:space="preserve">  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t xml:space="preserve">  6.       Expenses.</w:t>
        <w:br/>
        <w:t xml:space="preserve">  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w:t>
        <w:br/>
        <w:t xml:space="preserve">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for use is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w:t>
        <w:br/>
        <w:t xml:space="preserve">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The Fund shall advance attorney’s fees and other expenses incurred by a Distributor Indemnitee in defending any claim, demand, action or suit which is the subject of a claim for indemnification pursuant to this Section 7 to the maximum extent permissible under applicable law.</w:t>
        <w:br/>
        <w:t xml:space="preserve">  D.       The Distributor shall indemnify, defend and hold the Fund, their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willful misfeasance, bad faith, or gross negligence in the performance of its</w:t>
        <w:br/>
        <w:t xml:space="preserve">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t xml:space="preserve">  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8.       Dealer Agreement Indemnification.</w:t>
        <w:br/>
        <w:t xml:space="preserve">  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 xml:space="preserve">  B.       To the extent that Distributor enters into any Non-Standard Dealer Agreement, after review and approval by the Fund, the Fund shall indemnify, defend and hold the Distributor</w:t>
        <w:br/>
        <w:t xml:space="preserve">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a Fund, in accordance with Section 15 of the 1940 Act.</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 xml:space="preserve">  C.       This Agreement will automatically terminate in the event of its “assignment” as such term is defined in the 1940 Act and the rules thereunder.</w:t>
        <w:br/>
        <w:t xml:space="preserve">      12.       Anti-Money Laundering Compliance.</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13.       Privacy. In accordance with Regulation S-P, the Distributor will not disclose any non-public personal information, as defined in Regulation S-P, received from the Fund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w:t>
        <w:br/>
        <w:t xml:space="preserve">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Foreside Fund Services, LLC</w:t>
        <w:br/>
        <w:t>Attn: Legal Department</w:t>
        <w:br/>
        <w:t>Three Canal Plaza, Xxxxx 000</w:t>
        <w:br/>
        <w:t>Xxxxxxxx, XX 00000</w:t>
        <w:br/>
        <w:t>Telephone: (000) 000-0000</w:t>
        <w:br/>
        <w:t>Email: xxxxx@xxxxxxxx.xxx</w:t>
        <w:br/>
        <w:t xml:space="preserve">  Catalyst Strategic Income Opportunities Fund</w:t>
        <w:br/>
        <w:t>Attn: Xxxxxxx Xxxxxxxxxx</w:t>
        <w:br/>
        <w:t>00 Xxxxx Xxx Xxxx Xxxxxx, 0xx Xxxxx</w:t>
        <w:br/>
        <w:t>Xxxxxxxxxx, XX 00000</w:t>
        <w:br/>
        <w:t>Telephone:</w:t>
        <w:br/>
        <w:t>Email: xxxxxxxx@xxxxxxxxxxxxx.xxx</w:t>
        <w:br/>
        <w:br/>
        <w:t>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19.       Survival. The provisions of Sections 5, 6, 7, 8, 9, 13, 14, 17, and 19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 xml:space="preserve">  21.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Catalyst Strategic Income Opportunities Fund</w:t>
        <w:br/>
        <w:t xml:space="preserve">    By: /s/ Xxxxxxx Xxxxxxxxxx</w:t>
        <w:br/>
        <w:t>Name: Xxxxxxx Xxxxxxxxxx</w:t>
        <w:br/>
        <w:t>Title: President</w:t>
        <w:br/>
        <w:t xml:space="preserve">  Foreside Fund Services, LLC</w:t>
        <w:br/>
        <w:t xml:space="preserve">    By: /s/ Xxxxxx Xxxxx</w:t>
        <w:br/>
        <w:t>Name: Xxxxxx Xxxxx</w:t>
        <w:br/>
        <w:t>Title: President</w:t>
        <w:br/>
        <w:t xml:space="preserve">        EXHIBIT A</w:t>
        <w:br/>
        <w:t xml:space="preserve">  Compensation</w:t>
        <w:br/>
        <w:t xml:space="preserve">  SALES LOADS:</w:t>
        <w:br/>
        <w:t xml:space="preserve">  Any and all upfront commissions on sales of Shares notified by a Fund in writing to the Distributor in respect of a particular Financial Intermediary up to the maximum such upfront commission rate set forth in the Registration Statement, including the Prospectus, filed with the SEC and in effect at the time of sale of such Shares.</w:t>
        <w:br/>
        <w:t xml:space="preserve">  Such commissions shall not exceed the applicable sale amount set forth in the Registration Statement and shall be paid by the Distributor to the applicable Financial Intermediaries as set forth in the Registration Statement and only after, for so long as and to the extent that the Distributor has received such sales loads from the applicable Fund.</w:t>
        <w:br/>
        <w:t xml:space="preserve">    DISTRIBUTION FEE:</w:t>
        <w:br/>
        <w:t xml:space="preserve">  The Fund will pay the Distributor an ongoing quarterly fee at the rate set forth in the Registration Statement and such fee shall be paid by the Distributor to the applicable Financial Intermediaries as set forth in the Registration Statement and only after, for so long as and to the extent that the Distributor has received such sales loads from the applicable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