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 DISTRIBUTION AGREEMENT</w:t>
        <w:br/>
        <w:br/>
        <w:t xml:space="preserve">    THIS AGREEMENT is made and entered into as of ____ 2023, by and between Advisor Managed Portfolios, a Delaware statutory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i.the advice of the Trust, or counsel to the Trust;</w:t>
        <w:br/>
        <w:t>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Name/Title</w:t>
        <w:br/>
        <w:br/>
        <w:br/>
        <w:br/>
        <w:t>ADVISOR MANAGED PORTFOLIOS</w:t>
        <w:br/>
        <w:br/>
        <w:t>By: ________________________</w:t>
        <w:br/>
        <w:t>Name/Title</w:t>
        <w:br/>
        <w:t>13</w:t>
        <w:br/>
        <w:br/>
        <w:br/>
        <w:br/>
        <w:t>EXHIBIT A</w:t>
        <w:br/>
        <w:br/>
        <w:t>Fund Names</w:t>
        <w:br/>
        <w:br/>
        <w:t>Bramshill Income Performance Fund</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