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w:t>
        <w:br/>
        <w:t xml:space="preserve">  DISTRIBUTION AGREEMENT</w:t>
        <w:br/>
        <w:t xml:space="preserve">  THIS AGREEMENT is made and entered into as of this 28th day of September, 2023, by and among Brookfield Infrastructure Income Fund Inc. (the “Fund”) and Quasar Distributors, LLC, a Delaware limited liability company (the “Distributor”).</w:t>
        <w:br/>
        <w:t xml:space="preserve">  WHEREAS, the Fund is registered under the Investment Company Act of 1940, as amended (the “1940 Act”), as a non-diversified closed-end management investment company and operates as a “tender offer” fund, and is authorized to issue shares of common stock (“Shares”);</w:t>
        <w:br/>
        <w:t xml:space="preserve">  WHEREAS, the Fund desires to retain the Distributor as principal underwriter in connection with the offering of the Shares of each of the Funds;</w:t>
        <w:br/>
        <w:t xml:space="preserve">  WHEREAS, the Distributor is registered as a broker-dealer under the Securities Exchange Act of 1934, as amended (the “1934 Act”), and is a member of the Financial Industry Regulatory Authority (“FINRA”);</w:t>
        <w:br/>
        <w:t xml:space="preserve">  WHEREAS, this Agreement has been approved by a vote of the Fund’s board of trustees (the “Board”) and its disinterested directors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