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____ 2023, by and between Advisor Managed Portfolios, a _______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 MANAGED PORTFOLIOS</w:t>
        <w:br/>
        <w:br/>
        <w:t>By: ________________________</w:t>
        <w:br/>
        <w:t>Name/Title</w:t>
        <w:br/>
        <w:t>13</w:t>
        <w:br/>
        <w:br/>
        <w:br/>
        <w:br/>
        <w:t>EXHIBIT A</w:t>
        <w:br/>
        <w:br/>
        <w:t>Fund Names</w:t>
        <w:br/>
        <w:br/>
        <w:t>Xxxxx Total Return Income Fund</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