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(e)(26)</w:t>
        <w:br/>
        <w:t xml:space="preserve">  AMENDMENT NO. 26 TO AMENDED AND RESTATED DISTRIBUTION AGREEMENT</w:t>
        <w:br/>
        <w:t xml:space="preserve">  THIS AMENDMENT TO AMENDED AND RESTATED DISTRIBUTION AGREEMENT (this“Amendment”), effective as of the 14th day of December, 2023 (the “Amendment Effective Date”) is entered into by and between Exchange Traded Concepts Trust (the “Trust”), and SEI Investments Distribution Co. (“Distributor”).</w:t>
        <w:br/>
        <w:t xml:space="preserve">  WHEREAS:</w:t>
        <w:br/>
        <w:t xml:space="preserve">  1. As of November 10, 2011, the Trust and Distributor entered into an Amended and Restated Distribution Agreement, as amended (the “Agreement”);</w:t>
        <w:br/>
        <w:t xml:space="preserve">  2. Capitalized terms used in this Amendment but not defined in this Amendment shall have the meanings ascribed to them in the Agreement; and</w:t>
        <w:br/>
        <w:t xml:space="preserve">  3. The parties hereto desire to further amend the Agreement on the terms and subject to the conditions provided herein.</w:t>
        <w:br/>
        <w:t xml:space="preserve">  NOW THEREFORE, for and in consideration of the promises and the mutual covenants herein contained, and intending to be legally bound hereby, the parties agree as follows:</w:t>
        <w:br/>
        <w:t xml:space="preserve">  1. Schedule A (List of Funds). Schedule A (List of Funds of the Agreement) is hereby deleted in its entirety and replaced as set forth in Schedule A attached hereto and made a part herewith.</w:t>
        <w:br/>
        <w:t xml:space="preserve">  2. Ratification of Amendment. Except as expressly amended and provided herein, all of the terms and conditions and provisions of the Agreement shall continue in full force and effect.</w:t>
        <w:br/>
        <w:t xml:space="preserve">  3. Counterparts. This Amendment shall become binding when any one or more counterparts hereof individually or taken together, shall bear the original or facsimile signature of each of the parties hereto. This Amendment may be executed in any number of counterparts, each of which shall be an original against any party whose signature appears thereon, but all of which together shall constitute but one and the same instrument.</w:t>
        <w:br/>
        <w:t xml:space="preserve">  4. Governing Law. This Amendment shall be construed in accordance with the laws of the State of Delaware and the applicable provisions of the 1940 Act. To the extent that the applicable laws of the State of Delaware, or any of the provisions herein, conflict with the applicable provisions of the 1940 Act, the latter shall control.</w:t>
        <w:br/>
        <w:t xml:space="preserve">  IN WITNESS WHEREOF, the parties have executed this Amendment as of the date first written above.</w:t>
        <w:br/>
        <w:t xml:space="preserve">  EXCHANGE TRADED CONCEPTS TRUST   SEI INVESTMENTS DISTRIBUTION CO.</w:t>
        <w:br/>
        <w:t xml:space="preserve">          By: /s/ X. Xxxxxxx Xxxxxxx   By: /s/ Xxxxx XxXxxx</w:t>
        <w:br/>
        <w:t>Name:  X. Xxxxxxx Xxxxxxx   Name:  Xxxxx XxXxxx</w:t>
        <w:br/>
        <w:t>Title: President   Title: Vice President</w:t>
        <w:br/>
        <w:t xml:space="preserve">        SCHEDULE A</w:t>
        <w:br/>
        <w:t xml:space="preserve">  List of Funds</w:t>
        <w:br/>
        <w:t xml:space="preserve">  ROBO Global® Robotics and Automation Index ETF (formerly, ROBO-STOX Global Robotics and Automation Index ETF)</w:t>
        <w:br/>
        <w:t xml:space="preserve">  EMQQ The Emerging Markets Internet &amp; Ecommerce™ ETF</w:t>
        <w:br/>
        <w:t xml:space="preserve">  Capital Link Global Fintech Leaders ETF (formerly, Capital Link NextGen Protocol ETF,</w:t>
        <w:br/>
        <w:t>Innovation Shares NextGen Protocol ETF, Innovation Shares Blockchain Innovators ETF)</w:t>
        <w:br/>
        <w:t xml:space="preserve">  Vesper U.S. Large Cap Short-Term Reversal Strategy ETF</w:t>
        <w:br/>
        <w:t xml:space="preserve">  ROBO Global® Artificial Intelligence ETF</w:t>
        <w:br/>
        <w:t xml:space="preserve">  ROBO Global® Healthcare Technology and Innovation ETF</w:t>
        <w:br/>
        <w:t xml:space="preserve">  6 Meridian Hedged Equity-Index Option Strategy ETF</w:t>
        <w:br/>
        <w:t xml:space="preserve">  6 Meridian Low Beta Equity Strategy ETF</w:t>
        <w:br/>
        <w:t xml:space="preserve">  6 Meridian Mega Cap Equity ETF</w:t>
        <w:br/>
        <w:t xml:space="preserve">  6 Meridian Small Cap Equity ETF</w:t>
        <w:br/>
        <w:t xml:space="preserve">  Nifty India Financials ETF</w:t>
        <w:br/>
        <w:t xml:space="preserve">  6 Meridian Quality Dividend Yield ETF</w:t>
        <w:br/>
        <w:t xml:space="preserve">  6 Meridian Quality Growth ETF</w:t>
        <w:br/>
        <w:t xml:space="preserve">  6 Meridian Quality Value ETF</w:t>
        <w:br/>
        <w:t xml:space="preserve">  Bitwise Crypto Industry Innovators ETF</w:t>
        <w:br/>
        <w:t xml:space="preserve">  FMQQ The Next Frontier Internet &amp; Ecommerce ETF</w:t>
        <w:br/>
        <w:t xml:space="preserve">  India Internet &amp; Ecommerce ETF</w:t>
        <w:br/>
        <w:t xml:space="preserve">  Optica Rare Earths &amp; Critical Materials ETF</w:t>
        <w:br/>
        <w:t xml:space="preserve">  KPOP and Korean Entertainment ETF</w:t>
        <w:br/>
        <w:t xml:space="preserve">  MUSQ Global Music Industry ETF</w:t>
        <w:br/>
        <w:t xml:space="preserve">  Range Global Coal Index ETF</w:t>
        <w:br/>
        <w:t xml:space="preserve">  Range Global LNG Ecosystem Index ETF</w:t>
        <w:br/>
        <w:t xml:space="preserve">  Range Global Offshore Oil Services Index ETF</w:t>
        <w:br/>
        <w:t xml:space="preserve">  Range Nuclear Renaissance Index ETF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