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(2)(h)(1)</w:t>
        <w:br/>
        <w:t xml:space="preserve">  DISTRIBUTION AGREEMENT</w:t>
        <w:br/>
        <w:t xml:space="preserve">  THIS AGREEMENT is made and entered into as of this 7th day of November, 2023, by and between Meketa Infrastructure Fund, a Delaware statutory trust (the “Fund”) and Foreside Financial Services, LLC, a Delaware limited liability company (the “Distributor”).</w:t>
        <w:br/>
        <w:t xml:space="preserve">  WHEREAS, the Fund is registered under the Investment Company Act of 1940, as amended (the “1940 Act”), as a non-diversified closed-end management investment company and operates as an interval fund, and is authorized to issue Shares of beneficial interest (“Shares”);</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and its trustees who are not “interested persons” (as defined in the 1940 Act) (the “Independent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 xml:space="preserve">        B. During the public offering of Shares of the Fund, the Distributor shall use commercially reasonable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NSCC and any other similar successor organization to sponsor a participant number for the Fund so as to enable the Shares to be traded through FundSERV. The Distributor shall not be responsible for any operational issued caused by systems or processes of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to the Fund any comments provided by regulators with respect to such materials.</w:t>
        <w:br/>
        <w:t xml:space="preserve">  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 in no case less frequently than annually in connection with the Board’s renewal of this Agreement.</w:t>
        <w:br/>
        <w:t xml:space="preserve">  J. The services furnished by the Distributor hereunder are not to be deemed exclusive and the Distributor shall be free to furnish similar services to others so long as its services under this Agreement are not impaired thereby.</w:t>
        <w:br/>
        <w:t xml:space="preserve">  2</w:t>
        <w:br/>
        <w:t xml:space="preserve">    K. Notwithstanding anything herein to the contrary, the Distributor shall not be required to register as a broker or dealer in any specific jurisdiction or to maintain its registration in any jurisdiction in which it is now registered.</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3</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Securities and Exchange Commission (“SEC”) or its staff relating to the Fund that could reasonably be deemed to bear on the services of the Distributor or the Fund’s ability to fulfill its obligations under this Agreement,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not misleading;</w:t>
        <w:br/>
        <w:t xml:space="preserve">  (iv) of all material actions taken by the SEC with respect to any amendments to any Registration Statement or Prospectus which may from time to time be filed with the SEC that could reasonably be deemed to bear on the services of the Distributor or the Fund’s ability to fulfill its obligations under this Agreement;</w:t>
        <w:br/>
        <w:t xml:space="preserve">  (v) in the event that it determines to suspend the sale of Shares at any time in response to conditions in the securities markets or otherwise or to suspend the repurchase or redemption of Shares at any time as permitted by the 1940 Act or the rules of the SEC; and</w:t>
        <w:br/>
        <w:t xml:space="preserve">  (vi) of the commencement of any litigation or proceedings against the Fund or any of their officers or directors in connection with the issue and sale of any of the Shares.</w:t>
        <w:br/>
        <w:t xml:space="preserve">  4</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Fund shall fully cooperate in the efforts of the Distributor to arrange for the distribution of Shares. In addition, the Fund shall keep the Distributor fully informed of its affairs as they may reasonably relate to the services of the Distributor or the Fund’s obligations under this Agreement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business day of any such filings. The Fund represents that it will not use or authorize the use of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5</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 xml:space="preserve">  (i)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Distributor’s services in connection with the distribution of Shares of the Fund, Distributor shall receive the compensation set forth in Exhibit A.</w:t>
        <w:br/>
        <w:t xml:space="preserve">  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t xml:space="preserve">  6</w:t>
        <w:br/>
        <w:t xml:space="preserve">    6. Expenses.</w:t>
        <w:br/>
        <w:t xml:space="preserve">  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for use in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7</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[Reserved].</w:t>
        <w:br/>
        <w:t xml:space="preserve">  8</w:t>
        <w:br/>
        <w:t xml:space="preserve">    D. The Distributor shall indemnify, defend and hold the Fund, its affiliates, and each of their respective members, managers, trustees,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relating to (i) the Distributor’s breach of any of its obligations, representations, warranties or covenants contained in this Agreement; (ii) the Distributor’s failure to comply with any applicable securities laws or regulations; or (iii)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insofar as such statement or omission was made in reliance upon, and in conformity with, information furnished to the Fund or its counsel by the Distributor in writing for use in such Registration Statement, Prospectus, shareholder report,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or alleged omission, otherwise than on account of the Distributor’s indemnity agreement contained in this Section 7(D).</w:t>
        <w:br/>
        <w:t xml:space="preserve">  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9</w:t>
        <w:br/>
        <w:t xml:space="preserve">    8. Dealer Agreement Indemnification.</w:t>
        <w:br/>
        <w:t xml:space="preserve">  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 xml:space="preserve">  B. To the extent that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Notwithstanding the foregoing, in no event shall anything contained herein be so construed as to require the Fund to indemnify the Distributor Indemnitees or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including a majority of the Independent Trustees, or (ii) the vote of a majority of the outstanding voting securities of a Fund, in accordance with Section 15 of the 1940 Act.</w:t>
        <w:br/>
        <w:t xml:space="preserve">  10</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Independent Trustees or by vote of a majority of the outstanding voting securities of a Fund, or by the Distributor.</w:t>
        <w:br/>
        <w:t xml:space="preserve">  C. This Agreement will automatically terminate in the event of its “assignment” as such term is defined in the 1940 Act and the rules thereunder.</w:t>
        <w:br/>
        <w:t xml:space="preserve">  12. Anti-Money Laundering Compliance.</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13. Privacy. In accordance with Regulation S-P, the Distributor will not disclose any non-public personal information, as defined in Regulation S-P, received from the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 xml:space="preserve">  11</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 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 xml:space="preserve">  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Foreside Financial Services, LLC</w:t>
        <w:br/>
        <w:t>Attn: Legal Department</w:t>
        <w:br/>
        <w:t>Three Canal Xxxxx, Xxxxx 000</w:t>
        <w:br/>
        <w:t>Xxxxxxxx, XX 00000</w:t>
        <w:br/>
        <w:t>Telephone: (000) 000-0000</w:t>
        <w:br/>
        <w:t>Email: xxxxx@xxxxxxxx.xxx</w:t>
        <w:br/>
        <w:t>Meketa Infrastructure Fund</w:t>
        <w:br/>
        <w:t>Attn: Xxxxxxx XxXxxxx</w:t>
        <w:br/>
        <w:t>00 Xxxxxxxxxx Xxxxxx,</w:t>
        <w:br/>
        <w:t>Xxxxxxxx, XX 00000</w:t>
        <w:br/>
        <w:t>Telephone:000.000.0000</w:t>
        <w:br/>
        <w:t>Email: xxxxxxxx@xxxxxx.xxx</w:t>
        <w:br/>
        <w:t xml:space="preserve">  12</w:t>
        <w:br/>
        <w:t xml:space="preserve">    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19. Survival. The provisions of Sections 5, 6, 7, 8, 9, 13, 14, 17, and 19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 xml:space="preserve">  21. Counterparts. This Agreement may be executed by the Parties hereto in any number of counterparts, and all of the counterparts taken together shall be deemed to constitute one and the same document.</w:t>
        <w:br/>
        <w:t xml:space="preserve">  13</w:t>
        <w:br/>
        <w:t xml:space="preserve">    IN WITNESS WHEREOF, the parties hereto have caused this Agreement to be executed by a duly authorized officer on one or more counterparts as of the date first above written.</w:t>
        <w:br/>
        <w:t xml:space="preserve">  MEKETA INFRASTRUCTURE FUND  </w:t>
        <w:br/>
        <w:t xml:space="preserve">      By: /s/ Xxxxxxx Xxxx  </w:t>
        <w:br/>
        <w:t xml:space="preserve">  Name: Xxxxxxx Xxxx  </w:t>
        <w:br/>
        <w:t xml:space="preserve">  Title: President  </w:t>
        <w:br/>
        <w:t xml:space="preserve">  FORESIDE FINANCIAL SERVICES, LLC  </w:t>
        <w:br/>
        <w:t xml:space="preserve">      By: /s/ Xxxxxx Xxxxx  </w:t>
        <w:br/>
        <w:t xml:space="preserve">  Name: Xxxxxx Xxxxx  </w:t>
        <w:br/>
        <w:t xml:space="preserve">  Title: President  </w:t>
        <w:br/>
        <w:t xml:space="preserve">  14</w:t>
        <w:br/>
        <w:t xml:space="preserve">    EXHIBIT A</w:t>
        <w:br/>
        <w:t xml:space="preserve">  Compensation</w:t>
        <w:br/>
        <w:t xml:space="preserve">  SALES LOADS:</w:t>
        <w:br/>
        <w:t xml:space="preserve">  The Fund does not have a sales load.</w:t>
        <w:br/>
        <w:t xml:space="preserve">  DISTRIBUTION FEE:</w:t>
        <w:br/>
        <w:t xml:space="preserve">  The Fund will pay the Distributor an ongoing quarterly fee up to 0.25% on an annualized basis of the average daily net assets of the Fund attributable to Class II Shares and such fee shall be paid by the Distributor to the applicable Financial Intermediaries as set forth in the Registration Statement and only after, for so long as and to the extent that the Distributor has received such distribution fee from the Fund.</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