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FOR</w:t>
        <w:br/>
        <w:t>SECURITIES OFFERING</w:t>
        <w:br/>
        <w:t xml:space="preserve">  This Escrow Agreement, effective as of 07/16/2024,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 and ACME AtronOmatic Inc, a Delaware C-Corp(“Issuer”) located at 000 X Xxxxxxxxx Xx, Xxx 000, Xxxxxxx, XX 00000         .</w:t>
        <w:br/>
        <w:t xml:space="preserve">  SUMMARY</w:t>
        <w:br/>
        <w:t xml:space="preserve">  A.           Issuer has engaged Xxxxxx to act as broker/dealer of record for the sale up to $5,000,000 of securities (the “Securities”) on a “best efforts” basis, in an offering pursuant to Regulation A+ (the “Offering”).</w:t>
        <w:br/>
        <w:t xml:space="preserve">  B.            In accordance with the Form C (“Offering Document”), subscribers to the Shares (as defined below)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as the offering end date in the most current Offering Document.</w:t>
        <w:br/>
        <w:t xml:space="preserve">  “Minimum Offering” shall mean the number of Shares so designated as the Offering Minimum in the most current Offering Document.</w:t>
        <w:br/>
        <w:t xml:space="preserve">  “Minimum Offering Notice” shall mean an electronic notification, signed by Xxxxxx,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“Share” shall mean a unit of security to be issued by Issuer in connection with the Offering to Subscribers in exchange for their payments.</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            Appointment of and Acceptance by Escrow Agent. Issuer, Xxxxxx hereby appoint Escrow Agent to serve as Escrow Agent hereunder, and Escrow Agent xxxxxx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Xxxxxx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c.             All Cash Investment Instruments shall be made payable to the order of, or endorsed to the order of, “Escrow Agent / [ACME AtronOmatic Inc]-Escrow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Xxxxxx</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the Issuer and/or Broker as to the disbursement of such funds (the “Instruction Letter”) in accordance with this Section 4(a). Notwithstanding the foregoing, Escrow Agent shall not be obligated to disburse the Escrow</w:t>
        <w:br/>
        <w:t xml:space="preserve">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Escrow Agent of written notice (i) from Issuer that the Issuer intends to reject a Subscriber’s subscription, (ii) from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Xxxxxx and Issuer have not within 30 days of the furnishing by Escrow Agent of a notice of resignation pursuant to Section 7 hereof appointed a successor Xxxxxx</w:t>
        <w:br/>
        <w:t xml:space="preserve">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Broker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Broker upon demand by Escrow Agent. The obligations of Broker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and Broker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to secure all obligations hereunder, and Xxxxxx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Xxxxxx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Shares or has approved, endorsed or passed upon the merits of the investment therein and that the name of Escrow Agent has not and shall not be used in any manner in connection with the offer or sale of the Shares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Shares set forth therein, subject to and in accordance with the terms of the Offering Document.</w:t>
        <w:br/>
        <w:t xml:space="preserve">  12.          Identifying Information. Issuer and Xxxxxx acknowledge that a portion of the identifying information requested by Escrow Agent in connection with this Escrow Agreement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Broker, or to which access was provided to Escrow Agent by or at the direction of the Issuer or Broker,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 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14.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15.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C hereto, or to such other address as each party may designate for itself by like notice, and shall be deemed to have been given on the date deposited in the mail, if mailed, by first-class, registered or certified mail, postage prepaid, addressed as set forth on Exhibit C hereto, or to such other address as each party may designate for itself by like notice.</w:t>
        <w:br/>
        <w:t xml:space="preserve">  16.          Amendment or Waiver. This Escrow Agreement may be changed, waived, discharged or terminated only by a writing signed by Xxxxxx, Issuer and Escrow Agent. No delay or omission by any party in exercising any right with respect hereto shall operate as a waiver. A waiver on any one occasion shall not be construed as a bar to, or waiver of, any right or remedy on any future occasion.</w:t>
        <w:br/>
        <w:t xml:space="preserve">        17.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18.          Governing Law. This Escrow Agreement shall be construed and interpreted in accordance with the internal laws of the State of Delaware without giving effect to the conflict of laws principles thereof.</w:t>
        <w:br/>
        <w:t xml:space="preserve">  19.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20.          Binding Effect. All of the terms of this Escrow Agreement, as amended from time to time, shall be binding upon, inure to the benefit of and be enforceable by the respective successors and assigns of Broker, Issuer and Xxxxxx Agent.</w:t>
        <w:br/>
        <w:t xml:space="preserve">  21.          Execution in Counterparts. This Escrow Agreement may be executed in two or more counterparts, which when so executed shall constitute one and the same agreement.</w:t>
        <w:br/>
        <w:t xml:space="preserve">  22.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23.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Printed Name: Xxxxxx Xxxxx</w:t>
        <w:br/>
        <w:t xml:space="preserve">  Title: CEO</w:t>
        <w:br/>
        <w:t xml:space="preserve">    Broker:</w:t>
        <w:br/>
        <w:t xml:space="preserve">      StartEngine Primary, LLC</w:t>
        <w:br/>
        <w:t xml:space="preserve">      Name: Xxxx Xxxxxx</w:t>
        <w:br/>
        <w:t xml:space="preserve">  Title:   SVP, Fundraising</w:t>
        <w:br/>
        <w:t xml:space="preserve">    Escrow Agent:</w:t>
        <w:br/>
        <w:t xml:space="preserve">      By:/ </w:t>
        <w:br/>
        <w:t xml:space="preserve">  Name:</w:t>
        <w:br/>
        <w:t xml:space="preserve">  Title:  Xxxxxxx Xxxxx Trust Officer</w:t>
        <w:br/>
        <w:t xml:space="preserve">        EXHIBIT A</w:t>
        <w:br/>
        <w:t>Escrow Agent Fees.</w:t>
        <w:br/>
        <w:t xml:space="preserve">  Escrow Administration Fee: $500.00 per year escrow account fee. First year non-refundable. These fees are paid for by StartEngine Primary LLC.</w:t>
        <w:br/>
        <w:t xml:space="preserve">  EXHIBIT B</w:t>
        <w:br/>
        <w:t>Transmittal of Funds for Deposit Into the Escrow Account</w:t>
        <w:br/>
        <w:t xml:space="preserve">  The Selected Dealer agrees that it is bound by the terms of the Escrow Agreement executed by Xxxxxx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 Bryn Mawr Trust Company</w:t>
        <w:br/>
        <w:t>Address 000 Xxxxxxxxx Xxx, Xxxx Xxxx XX 00000</w:t>
        <w:br/>
        <w:t>Routing Number 000000000</w:t>
        <w:br/>
        <w:t>Account Number 069-6964</w:t>
        <w:br/>
        <w:t>Account Name Trust Funds</w:t>
        <w:br/>
        <w:t>Further Instructions StartEngine – [ACME]</w:t>
        <w:br/>
        <w:t xml:space="preserve">  EXHIBIT C</w:t>
        <w:br/>
        <w:t>Notice</w:t>
        <w:br/>
        <w:t xml:space="preserve">  Escrow Agent</w:t>
        <w:br/>
        <w:t>Attn: Xxxxxx Xxxxxxx</w:t>
        <w:br/>
        <w:t>Bryn Mawr Trust Company</w:t>
        <w:br/>
        <w:t>00 Xxxxxxxxxxx Xxxx, Xxxxx 000</w:t>
        <w:br/>
        <w:t>Greenville, DE 19807</w:t>
        <w:br/>
        <w:t xml:space="preserve">  Broker</w:t>
        <w:br/>
        <w:t>Attn: Xxxxxx Xxxxxxxxx StartEngine Primary LLC</w:t>
        <w:br/>
        <w:t>0000 X Xxxxxxx Xxx, Xxxxx 000</w:t>
        <w:br/>
        <w:t>Burbank, CA 91505</w:t>
        <w:br/>
        <w:t xml:space="preserve">  Issuer</w:t>
        <w:br/>
        <w:t>[ISSUER NOTICE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