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CERTAIN IDENTIFIED INFORMATION HAS BEEN EXCLUDED FROM THE EXHIBIT BECAUSE IT IS BOTH NOT MATERIAL AND IS THE TYPE THAT THE COMPANY TREATS AS PRIVATE OR CONFIDENTIAL </w:t>
        <w:br/>
        <w:t xml:space="preserve">  Escrow Agreement</w:t>
        <w:br/>
        <w:t>FOR</w:t>
        <w:br/>
        <w:t>SECURITIES OFFERING</w:t>
        <w:br/>
        <w:t xml:space="preserve">  This Escrow Agreement, effective as of 02 / 23 / 2022          ,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;and LIFT Aircraft Inc.                    , a Delaware C-corp                  (“Issuer”) located at 0000 Xxxxx Xxxxxxx Xx, Xxxxxx, XX 00000                            .</w:t>
        <w:br/>
        <w:t xml:space="preserve">  SUMMARY</w:t>
        <w:br/>
        <w:t xml:space="preserve">  A.            Issuer has engaged Broker to act as broker/dealer of record for the sale up to $ 5, 000, 000 of securities (the “Securities”) on a “best efforts” basis, in an offering pursuant to Regulation CF (the “Offering”).</w:t>
        <w:br/>
        <w:t xml:space="preserve">  B.            In accordance with the Form C (“Offering Document”), subscribers to the Shares (as defined below)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as the offering end date in the most current Offering Document.</w:t>
        <w:br/>
        <w:t xml:space="preserve">  “Minimum Offering” shall mean the number of Shares so designated as the Offering Minimum in the most current Offering Document.</w:t>
        <w:br/>
        <w:t xml:space="preserve">  “Minimum Offering Notice” shall mean an electronic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“Share” shall mean a unit of security to be issued by Issuer in connection with the Offering to Subscribers in exchange for their payments.</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Broker hereby appoint Escrow Agent to serve as Escrow Agent hereunder, and Escrow Agent hereby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Escrow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 LIFT Aircraft Inc.               ]-Escrow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Broker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Broker and Issuer have not within 30 days of the furnishing by Escrow Agent of a notice of resignation pursuant to Section 7 hereof appointed a successor Escrow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Escrow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Escrow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Escrow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Broker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  12.          Identifying Information. Issuer and Broker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w:t>
        <w:br/>
        <w:t>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  16.          Amendment or Waiver. This Escrow Agreement may be changed, waived, discharged or terminated only by a writing signed by Broker, Issuer and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20.          Binding Effect. All of the terms of this Escrow Agreement, as amended from time to time, shall be binding upon, inure to the benefit of and be enforceable by the respective successors and assigns of Broker, Issuer and Escrow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w:t>
        <w:br/>
        <w:t xml:space="preserve">  Printed Name: Xxxxxxx Xxxxxx</w:t>
        <w:br/>
        <w:t xml:space="preserve">  Title: CEO</w:t>
        <w:br/>
        <w:t xml:space="preserve">    Broker:</w:t>
        <w:br/>
        <w:t xml:space="preserve">        By:</w:t>
        <w:br/>
        <w:t xml:space="preserve">  Name: Xxxxx Xxxxxx</w:t>
        <w:br/>
        <w:t xml:space="preserve">  Title: VP, Sales</w:t>
        <w:br/>
        <w:t xml:space="preserve">    Escrow Agent:</w:t>
        <w:br/>
        <w:t xml:space="preserve">    By:</w:t>
        <w:br/>
        <w:t xml:space="preserve">      Name:</w:t>
        <w:br/>
        <w:t xml:space="preserve">  Title:</w:t>
        <w:br/>
        <w:t xml:space="preserve">    EXHIBIT A</w:t>
        <w:br/>
        <w:t>Escrow Agent Fees.</w:t>
        <w:br/>
        <w:t xml:space="preserve">  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Escrow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[XXXXXXXX]</w:t>
        <w:br/>
        <w:t>Address [XXXXXXXX]</w:t>
        <w:br/>
        <w:t>Routing Number [XXXXXXXX]</w:t>
        <w:br/>
        <w:t>Account Number [XXXXXXXX]</w:t>
        <w:br/>
        <w:t>Account Name [XXXXXXXX]</w:t>
        <w:br/>
        <w:t>Further Instructions [XXXXXXXX]</w:t>
        <w:br/>
        <w:t xml:space="preserve">   EXHIBIT C</w:t>
        <w:br/>
        <w:t>Notice</w:t>
        <w:br/>
        <w:t xml:space="preserve">  Escrow Agent</w:t>
        <w:br/>
        <w:t>Attn: Xxxxxx Xxxxxxx</w:t>
        <w:br/>
        <w:t>Bryn Mawr Trust Company</w:t>
        <w:br/>
        <w:t>00 Xxxxxxxxxxx Xxxx, Xxxxx 000</w:t>
        <w:br/>
        <w:t>Xxxxxxxxxx, XX 00000</w:t>
        <w:br/>
        <w:t xml:space="preserve">  Broker</w:t>
        <w:br/>
        <w:t>Attn: Xxxxxx Xxxxxxxxx</w:t>
        <w:br/>
        <w:t>StartEngine Primary LLC</w:t>
        <w:br/>
        <w:t>0000 X Xxxxxxx Xxx, Xxxxx 0000</w:t>
        <w:br/>
        <w:t>Xxxxxxx, XX 00000</w:t>
        <w:br/>
        <w:t xml:space="preserve">  Issuer</w:t>
        <w:br/>
        <w:t>[ISSUER NOTICE ADDRESS]</w:t>
        <w:br/>
        <w:t xml:space="preserve">  Xxxxxxx Xxxxxx</w:t>
        <w:br/>
        <w:t xml:space="preserve">  0000 Xxxxx Xxxxxxx Xx, Xxxxxx, 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