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8.120</w:t>
        <w:br/>
        <w:t xml:space="preserve">  ESCROW AGREEMENT</w:t>
        <w:br/>
        <w:t>FOR</w:t>
        <w:br/>
        <w:t>SECURITIES OFFERING</w:t>
        <w:br/>
        <w:t xml:space="preserve">  THIS ESCROW AGREEMENT, effective as of July 13,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114,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$13,500.00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114,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114,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$12,810.00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114,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114,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