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Executive Employment Agreement</w:t>
        <w:br/>
        <w:t xml:space="preserve">  Dated as of 17th September, 2024</w:t>
        <w:br/>
        <w:t xml:space="preserve">  [Xxxxxxxxx Xxxxxx]</w:t>
        <w:br/>
        <w:t xml:space="preserve">  This Executive Employment Agreement (the “Agreement”) dated as of the date first set forth above (the “Effective Date”) is entered into by and between SBC Medical Group Holdings Incorporated, a Delaware corporation (the “Company”) and Xxxxxxxxx Xxxxxx (the “Executive”). The Company and Executive may collectively be referred to as the “Parties” and each individually as a “Party”.</w:t>
        <w:br/>
        <w:t xml:space="preserve">  WHEREAS, the Company now desires to employ the Executive as the Chief Executive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1. Employment.</w:t>
        <w:br/>
        <w:t xml:space="preserve">  (a) Term. The term of this Agreement (the “Initial Term”) shall begin as of the Effective Date and shall end on the earlier of (i) the first (1st) annual anniversary of the Effective Date and (ii) the time of the termination of the Executive’s employment in accordance with Section 2(e).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at least thirty (30) days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Executive Officer of the Company and as the Chief Executive Officer of SBC Medical Group Co., Ltd., a wholly owned subsidiary of the Company, and shall report to the Board of Directors of the Company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$12,000,000, payable on a monthly basis commencing on the Effective Date (as the same may be adjusted herein, the “Base Salary”). The Base Salary shall be paid in accordance with the Company’s payroll policies.</w:t>
        <w:br/>
        <w:t xml:space="preserve">  (b) Equity Issuances. The Executive shall be eligible to receive awards of options, restricted stock or other equity awards for shares of Class A Common Stock, par value $0.0001 per share (the “Common Stock”) of the Company (each, if so issued, an “Equity Award”), pursuant to award agreements in form and substance as determined by the Board and which will be entered into by and between the Company and Executive (if and when executed, each an “Award Agreement”). If an Equity Award, if made, is subject to vesting, then such Equity Award shall be subject to vesting and forfeiture as set forth herein and in the applicable Award Agreement.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2</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w:t>
        <w:br/>
        <w:t xml:space="preserve">  (iii) the relocation of the Executive’s principal executive office to a location more than 50 miles further from the Executive’s principal executive office immediately prior to such relocation; or</w:t>
        <w:br/>
        <w:t xml:space="preserve">  (iv)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any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14.</w:t>
        <w:br/>
        <w:t xml:space="preserve">  3</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14.</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4</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either Party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5</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6</w:t>
        <w:br/>
        <w:t xml:space="preserve">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any related out-of-pocket expenses, including travel expenses, and (ii) any such assistance may not unreasonably interfere with Executive’s then current employment.</w:t>
        <w:br/>
        <w:t xml:space="preserve">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7</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8</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9</w:t>
        <w:br/>
        <w:t xml:space="preserve">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10</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9. Representations and Warranties Relating to Securities. The Equity Award,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9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11</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12</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13</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w:t>
        <w:br/>
        <w:t xml:space="preserve">  (i) Executive is an individual resident of the state set forth in the notices provision for Executive herein.</w:t>
        <w:br/>
        <w:t xml:space="preserve">  10. Effect of Waiver. The waiver by either Party of a breach of any provision of this Agreement shall not operate or be construed as a waiver of any subsequent breach hereof. No waiver shall be valid unless in writing.</w:t>
        <w:br/>
        <w:t xml:space="preserve">  11.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provided that,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w:t>
        <w:br/>
        <w:t xml:space="preserve">  12.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13. Entire Agreement; Effectiveness of Agreement. This Agreement, any Award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14. Survival. The provisions of Section 3, Section 4, Section 5, Section 6, Section 7, Section 8, Section 9 and Section 12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15.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14</w:t>
        <w:br/>
        <w:t xml:space="preserve">    16. Governing Law and Waiver of Jury Trial.</w:t>
        <w:br/>
        <w:t xml:space="preserve">  (a) All questions concerning the construction, validity, enforcement and interpretation of this Agreement shall be determined, and this Agreement shall be governed by and construed and enforced in accordance with the internal laws of the State of Delaware, and for all purposes shall be construed in accordance with the laws of such state, without giving effect to the choice of law provisions of such state.</w:t>
        <w:br/>
        <w:t xml:space="preserve">  (B) SUBJECT TO SECTION 18, EACH PARTY AGREES THAT ALL LEGAL PROCEEDINGS CONCERNING THIS AGREEMENT SHALL BE COMMENCED IN THE TOKYO DISTRICT COURTS, OR, SOLELY IN THE EVENT THAT THE TOKYO DISTRICT COURTS ARE UNABLE OR UNWILLING TO ASSERT JURISDICTION WITH RESPECT TO THIS AGREEMENT OR THE ENFORCEMENT OF ANY JUDGEMENT HEREUNDER FOR ANY REASON, THEN IN THE STATE OR FEDERAL COURTS OF THE UNITED STATES WITH JURISDICTION IN PALM BEACH COUNTY, FLORIDA (AS APPLICABLE,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16(c).</w:t>
        <w:br/>
        <w:t xml:space="preserve">  15</w:t>
        <w:br/>
        <w:t xml:space="preserve">    17. Attorneys’ Fees, etc.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in Tokyo, Japan pursuant to then-prevailing National Rules for the Resolution of Employment Disputes of the American Arbitration Association, provided that in the event that such rules may not be applied in Tokyo, Japan for any reason, then pursuant to arbitration rules as reasonably determined by the Company. The arbitration shall be conducted by three arbitrators, with one arbitrator selected by each Party and the third arbitrator selected by the two arbitrators so selected by the Parties. The arbitrators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arbitrators may be entered in the Selected Courts. Subject to the provisions of Section 17, each Party will pay its own expenses of arbitration and the expenses of the arbitrators will be equally shared provided that, if in the opinion of the arbitrators any claim, defense, or argument raised in the arbitration was unreasonable, the arbitrators may assess all or part of the expenses of the other Party (including reasonable attorneys’ fees) and of the arbitrators as the arbitrators deem appropriate. The arbitrators may not award either Party punitive or consequential damages.</w:t>
        <w:br/>
        <w:t xml:space="preserve">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21. Expenses. Other than as specifically set forth herein, each of the Parties will bear their own respective expenses, including legal, accounting and professional fees, incurred in connection with this Agreement and the transactions contemplated herein.</w:t>
        <w:br/>
        <w:t xml:space="preserve">  16</w:t>
        <w:br/>
        <w:t xml:space="preserve">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SBC Medical Group Holdings Incorporated</w:t>
        <w:br/>
        <w:t>Attn: Xxxxxxxxx Xxxxxx, CEO</w:t>
        <w:br/>
        <w:t>000 Xxxxxxxx Xxxxxx Xx. XXX 000</w:t>
        <w:br/>
        <w:t>Irvine, CA 92618</w:t>
        <w:br/>
        <w:t>E-mail: xxxxxx@xxx.xx.xx</w:t>
        <w:br/>
        <w:t xml:space="preserve">  If to Executive, to:</w:t>
        <w:br/>
        <w:t xml:space="preserve">  Xxxxxxxxx Xxxxxx</w:t>
        <w:br/>
        <w:t>c/o SBC Medical Group, Inc.</w:t>
        <w:br/>
        <w:t>0-0-0, XxxxxXxxxxxxxx, Xxxxxxxxx Xxxxx 000-0000, Xxxxx</w:t>
        <w:br/>
        <w:t>E-mail: xxxxxx@xxx.xx.xx</w:t>
        <w:br/>
        <w:t xml:space="preserve">  23. Headings. The section headings contained in this Agreement are inserted for convenience only and shall not affect in any way the meaning or interpretation of this Agreement.</w:t>
        <w:br/>
        <w:t xml:space="preserve">  24. Counsel. The Parties acknowledge and agree that legal counsel to the Company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26. Execution in Counterparts, Electronic Transmission. This Agreement may be executed in any number of counterparts, each of which shall be deemed an original. The signature of any Party which is transmitted by any reliable electronic means such as, but not limited to, a photocopy, electronically scanned or facsimile machine, for purposes hereof, is to be considered as an original signature, and the document transmitted is to be considered to have the same binding effect as an original signature or an original document.</w:t>
        <w:br/>
        <w:t xml:space="preserve">  [Signatures appear on following page]</w:t>
        <w:br/>
        <w:t xml:space="preserve">  17</w:t>
        <w:br/>
        <w:t xml:space="preserve">    IN WITNESS WHEREOF, the Parties have executed this Agreement as of the Effective Date.</w:t>
        <w:br/>
        <w:t xml:space="preserve">    SBC Medical Group Holdings Incorporated</w:t>
        <w:br/>
        <w:t xml:space="preserve">        By: /s/ Xxxxxxxxx Xxxxxx</w:t>
        <w:br/>
        <w:t xml:space="preserve">  Name:  Xxxxxxxxx Xxxxxx</w:t>
        <w:br/>
        <w:t xml:space="preserve">  Title: Chief Executive Officer</w:t>
        <w:br/>
        <w:t xml:space="preserve">    Executive:  Xxxxxxxxx Xxxxxx</w:t>
        <w:br/>
        <w:t xml:space="preserve">                               By: /s/ Xxxxxxxxx Xxxxxx</w:t>
        <w:br/>
        <w:t xml:space="preserve">  Name: Xxxxxxxxx Xxxxxx</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