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EXECUTIVE EMPLOYMENT AGREEMENT</w:t>
        <w:br/>
        <w:t>This Executive Employment Agreement (this “Agreement”) is made as of August 14, 2024 (the “Effective Date”), by and between Binah Capital Group, Inc., a Delaware corporation (the “Company”), and Xxxxx Xxxxx, an individual (“Executive”).  Each of the Company and Executive is a “Party,” and collectively, they are the “Parties.”</w:t>
        <w:br/>
        <w:t>WHEREAS, Executive is currently engaged as a consultant of Kingswood Acquisition Corporation (“Kingswood”) and Wentworth Management Services, LLC (“Wentworth”);</w:t>
        <w:br/>
        <w:t>WHEREAS, following the closing of the proposed SPAC transaction (the “Closing”), Wentworth is a subsidiary of the Company, which is a successor to Kingswood;</w:t>
        <w:br/>
        <w:t>WHEREAS, the Company desires to employ Executive in the position of Chief Financial Officer, and Executive desires to accept such offer;</w:t>
        <w:br/>
        <w:t>WHEREAS, as of the Effective Date, the Parties agree that any consulting agreements or similar arrangements between Executive, on the one hand, and Kingswood and Wentworth, on the other hand, will terminate and will no longer remain in effect;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