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Executive Employment Agreement</w:t>
        <w:br/>
        <w:t xml:space="preserve">  Dated as of 3 October, 2023</w:t>
        <w:br/>
        <w:t xml:space="preserve">  This Executive Employment Agreement (the “Agreement”) dated as of the date first set forth above (the “Effective Date”) is entered into by and between Xxxxx Xxxxx Xxxxxxx, Inc., a Delaware corporation (the “Company”) and Xxxxxxx Xxxxxxxx (the “Executive”). The Company and Executive may collective be referred to as the “Parties” and each individually as a “Party”.</w:t>
        <w:br/>
        <w:t xml:space="preserve">  WHEREAS, the Company now desires to employ the Executive as the Executive Vice President and Chief Administrative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(a) Term. The term of this Agreement (the “Initial Term”) shall begin as of the Effective Date and shall end on the earlier of (i) the third (3rd) annual anniversary of the Effective Date and (ii) the time of the termination of the Executive’s employment in accordance with Section 3.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Executive Vice President and Chief Administrative Officer of the Company and shall report to the Chief Executive Officer of the Company and the Board of Directors of the Company (the “Board”) and to such other persons as designated by the Chief Executive Officer or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1</w:t>
        <w:br/>
        <w:t xml:space="preserve">    Section 2. Compensation and Other Benefits. As compensation for the services to be rendered hereunder, during the Term the Company shall pay to the Executive the salary and bonuses, and shall provide the benefits, as set forth in this Section 2.</w:t>
        <w:br/>
        <w:t>(a) Base Salary. For purposes herein, “¥” or “JPY” shall mean Japanese Yen. The Executive shall be paid an annual base salary of ¥24,000,000 by the Company, payable on a monthly basis commencing on the Effective Date (as the same may be adjusted herein, the “Base Salary”). The Base Salary shall be paid in accordance with the Company’s payroll policies.</w:t>
        <w:br/>
        <w:t xml:space="preserve">      (b) Bonus. The Executive shall be eligible to receive any discretionary bonuses as determined by the Board.</w:t>
        <w:br/>
        <w:t xml:space="preserve">      (c) Fringe Benefits. During the Term, the Executive shall be entitled to fringe benefits consistent with the practices of the Company, and to the extent the Company provides similar benefits to the Company’s executive officers.</w:t>
        <w:br/>
        <w:t xml:space="preserve">      (d)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Section 3. Termination.</w:t>
        <w:br/>
        <w:t>(a)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2</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the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3</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any Equity Grant already made to Executive shall, to the extent not already vested, be deemed automatically vested; and (iii) all of the Parties’ rights and obligations hereunder shall thereafter cease, other than such rights or obligations which arose prior to the termination date or in connection with such termination, and subject to Section 15.</w:t>
        <w:br/>
        <w:t>(e)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4</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Section 4. Payments.</w:t>
        <w:br/>
        <w:t>(a)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5</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6</w:t>
        <w:br/>
        <w:t xml:space="preserve">    Section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Section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Section 7. Confidentiality</w:t>
        <w:br/>
        <w:t>(a)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7</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8</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Section 8. Intellectual Property Rights.</w:t>
        <w:br/>
        <w:t>(a)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9</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10</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Section 9. Non-Compete and Non-Solicitation</w:t>
        <w:br/>
        <w:t>(a)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11</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(e) Non-Compete Restriction.</w:t>
        <w:br/>
        <w:t xml:space="preserve">  (i) Subject to applicable law, Executive agrees that, for the Term and for a period of two (2) years thereafter, Executive shall not, directly or indirectly: (i) engage in any other business, association or relationship of any kind with any business which provides, in whole or in part, the same or similar services and/or products offered by Company as part of its Existing Business or Developing Businesses which directly or indirectly competes with Company; nor (ii) solicit or accept, or induce any person to reduce goods or services to Company, or in any manner assist others in the solicitation, acceptance, or inducement of, any business transactions with Company’s existing and prospective clients, accounts, suppliers and/or other persons or entities with whom Company has had business relationships (or whom Company had specifically identified for a prospective business relationship). As used herein, Executive shall be considered “directly engaged” in such business if Executive acts as a shareholder, officer, owner, consultant, associate, employee or agent of any business offering and/or providing any of the restricted services and/or products identified above; and shall be considered “indirectly engaged” if any immediate relative of such persons (spouse, children, parents or siblings), or other person with whom such persons have a significant personal relationship, is engaged in such business.</w:t>
        <w:br/>
        <w:t xml:space="preserve">  (ii) Executive agrees that the geographic scope of the above restrictions shall extend to the geographic area in which Company actively conducted business immediately prior to termination of this Agreement.</w:t>
        <w:br/>
        <w:t>12</w:t>
        <w:br/>
        <w:t xml:space="preserve">    (f)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9(f) shall prohibit Executive from undertaking a general recruitment advertisement provided that the foregoing is not targeted towards any person identified above, or from hiring, employing or engaging any such person who responds to such general recruitment advertisement.</w:t>
        <w:br/>
        <w:t>(g)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retains an attorney to enforce the provisions of this Section 9, the Company shall be entitled to recover its reasonable attorneys’ fees and costs so incurred from Executive, both prior to filing a lawsuit, during the lawsuit and on appeal.</w:t>
        <w:br/>
        <w:t>(h)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Section 10. Representations and Warranties Relating to Securities. Any shares of common stock, par value $0.00001 per share, of the Company (the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date of any issuance or granting of any Securities.</w:t>
        <w:br/>
        <w:t>13</w:t>
        <w:br/>
        <w:t xml:space="preserve">    (a) Executive is an “accredited investor” as that term is defined in Rule 501(a) of Regulation D promulgated pursuant to the Securities Act (an “Accredited Investor”).</w:t>
        <w:br/>
        <w:t>(b)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14</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15</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(i) Executive is an individual resident of the state set forth in the notices provision for Executive herein.</w:t>
        <w:br/>
        <w:t xml:space="preserve">  Section 11. Effect of Waiver. The waiver by either Party of a breach of any provision of this Agreement shall not operate or be construed as a waiver of any subsequent breach hereof. No waiver shall be valid unless in writing.</w:t>
        <w:br/>
        <w:t xml:space="preserve">  Section 12.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16</w:t>
        <w:br/>
        <w:t xml:space="preserve">    Section 14. Entire Agreement; Effectiveness of Agreement. This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Section 15. Survival. The provisions of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17. Governing Law and Waiver of Jury Trial.</w:t>
        <w:br/>
        <w:t>(a)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provided that, with respect to any Equity Grants or the issuance of equity securities of the Company to the Executive, the laws of the State of Delaware shall control with respect to the terms, conditions, rights and obligations with respect thereto.</w:t>
        <w:br/>
        <w:t>(B) SUBJECT TO SECTION 18, EACH PARTY AGREES THAT ALL LEGAL PROCEEDINGS CONCERNING THIS AGREEMENT SHALL BE COMMENCED IN EITHER (I) THE COURTS OF THE STATE OF NEW YORK AND THE FEDERAL COURTS OF THE UNITED STATES OF AMERICA, IN EACH CASE LOCATED IN NEW YORK CITY, NEW YORK, OR (II) THE TOKYO DISTRICT COURT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17</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New York City, New York pursuant to then-prevailing National Rules for the Resolution of Employment Disputes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17(d),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18</w:t>
        <w:br/>
        <w:t xml:space="preserve">    Section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21.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Xxxxx Xxxxx Xxxxxxx, Inc.</w:t>
        <w:br/>
        <w:t>Attention: Xxxxxx Xxxxx</w:t>
        <w:br/>
        <w:t>1-1-3 Otemachi Chiyoda-ku</w:t>
        <w:br/>
        <w:t>Tokyo 100-0004, Japan</w:t>
        <w:br/>
        <w:t>Email: x.xxxxx@xxxxxxx-xxxxx.xxx</w:t>
        <w:br/>
        <w:t xml:space="preserve">  With a copy, which shall not constitute notice, to:</w:t>
        <w:br/>
        <w:t xml:space="preserve">  Xxxxxxx X.X., PLLC</w:t>
        <w:br/>
        <w:t>Attn: Xxxx Xxxxxxxxxxx</w:t>
        <w:br/>
        <w:t>0000 Xxxx Xxxxx Xxxxx Xxxx., Xxxxx 000</w:t>
        <w:br/>
        <w:t>West Palm Beach, FL 33401</w:t>
        <w:br/>
        <w:t>Email: XXxxxxxxxxxx@xxxxxxxxxxx.xxx</w:t>
        <w:br/>
        <w:t xml:space="preserve">  If to Executive, to the address for Executive as set forth in the books and records of the Company.</w:t>
        <w:br/>
        <w:t xml:space="preserve">  19</w:t>
        <w:br/>
        <w:t xml:space="preserve">    Section 23. Headings. The section headings contained in this Agreement are inserted for convenience only and shall not affect in any way the meaning or interpretation of this Agreement.</w:t>
        <w:br/>
        <w:t xml:space="preserve">  Section 24. Counsel. The Parties acknowledge and agree that Xxxxxxx X.X.,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26.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20</w:t>
        <w:br/>
        <w:t xml:space="preserve">    IN WITNESS WHEREOF, the Parties have executed this Agreement as of the Effective Date.</w:t>
        <w:br/>
        <w:t xml:space="preserve">    Xxxxx Xxxxx Xxxxxxx, Inc.</w:t>
        <w:br/>
        <w:t xml:space="preserve">        By: /s/ Xxxxxx Xxxxx</w:t>
        <w:br/>
        <w:t xml:space="preserve">  Name: Xxxxxx Xxxxx</w:t>
        <w:br/>
        <w:t xml:space="preserve">  Title: Chief Executive Officer</w:t>
        <w:br/>
        <w:t xml:space="preserve">        Executive: Xxxxxxx Xxxxxxxx</w:t>
        <w:br/>
        <w:t xml:space="preserve">        By: /s/ Xxxxxxx Xxxxxxxx</w:t>
        <w:br/>
        <w:t xml:space="preserve">  Name: Xxxxxxx Xxxxxxxx</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