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Executive Employment Agreement</w:t>
        <w:br/>
        <w:t xml:space="preserve">  Dated as of 17th September, 2024</w:t>
        <w:br/>
        <w:t xml:space="preserve">  [Xxxxx Xxxxxxx]</w:t>
        <w:br/>
        <w:t xml:space="preserve">  This Executive Employment Agreement (the “Agreement”) dated as of the date first set forth above (the “Effective Date”) is entered into by and between SBC Medical Group Holdings Incorporated, a Delaware corporation (the “Company”) and Akira Komatsu (the “Executive”). The Company and Executive may collectively be referred to as the “Parties” and each individually as a “Party”.</w:t>
        <w:br/>
        <w:t xml:space="preserve">  WHEREAS, the Company now desires to employ the Executive as the Chief Executive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first (1st) annual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Secretary of the Company and as the Secretary of SBC Medical Group Co., Ltd., a wholly owned subsidiary of the Company, and shall report to the Chief Executive Officer of the Company and the Board of Directors of the Company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1</w:t>
        <w:br/>
        <w:t xml:space="preserve">    (a) Base Salary. The Company shall pay to the Executive an annual base salary of $75,041, payable on a monthly basis commencing on the Effective Date (as the same may be adjusted herein, the “Base Salary”). The Base Salary shall be paid in accordance with the Company’s payroll policies.</w:t>
        <w:br/>
        <w:t xml:space="preserve">  (b) Equity Issuances. The Executive shall be eligible to receive awards of options, restricted stock or other equity awards for shares of Class A Common Stock, par value $0.0001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2</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3</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4</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5</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6</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7</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8</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9</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10</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 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11</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12</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13</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10. Effect of Waiver. The waiver by either Party of a breach of any provision of this Agreement shall not operate or be construed as a waiver of any subsequent breach hereof. No waiver shall be valid unless in writing.</w:t>
        <w:br/>
        <w:t xml:space="preserve">  11.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 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 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14</w:t>
        <w:br/>
        <w:t xml:space="preserve">    16.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 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STATE OR FEDERAL COURTS OF THE UNITED STATES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15</w:t>
        <w:br/>
        <w:t xml:space="preserve">    17. 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16</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SBC Medical Group Holdings Incorporated</w:t>
        <w:br/>
        <w:t>Attn: Xxxxxxxxx Xxxxxx, CEO</w:t>
        <w:br/>
        <w:t>000 Xxxxxxxx Xxxxxx Xx. XXX 000</w:t>
        <w:br/>
        <w:t>Irvine, CA 92618</w:t>
        <w:br/>
        <w:t>E-mail: xxxxxx@xxx.xx.xx</w:t>
        <w:br/>
        <w:t xml:space="preserve">  If to Executive, to the address and email address for Executive as set forth in the books and records of the Company.</w:t>
        <w:br/>
        <w:t xml:space="preserve">  23. Headings. The section headings contained in this Agreement are inserted for convenience only and shall not affect in any way the meaning or interpretation of this Agreement.</w:t>
        <w:br/>
        <w:t xml:space="preserve">  24. 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17</w:t>
        <w:br/>
        <w:t xml:space="preserve">    IN WITNESS WHEREOF, the Parties have executed this Agreement as of the Effective Date.</w:t>
        <w:br/>
        <w:t xml:space="preserve">    SBC Medical Group Holdings Incorporated</w:t>
        <w:br/>
        <w:t xml:space="preserve">      By: /s/ Xxxxxxxxx Xxxxxx</w:t>
        <w:br/>
        <w:t xml:space="preserve">  Name:  Xxxxxxxxx Xxxxxx</w:t>
        <w:br/>
        <w:t xml:space="preserve">  Title: Chief Executive Officer</w:t>
        <w:br/>
        <w:t xml:space="preserve">    Executive: Xxxxx Xxxxxxx</w:t>
        <w:br/>
        <w:t xml:space="preserve">        By: /s/ Xxxxx Xxxxxxx</w:t>
        <w:br/>
        <w:t xml:space="preserve">  Name:  Xxxxx Xxxxxxx</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