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Executive Employment Agreement</w:t>
        <w:br/>
        <w:t>Dated as of [                    ], 2022</w:t>
        <w:br/>
        <w:t>This Executive Employment Agreement (the “Agreement”) dated as of the date first set forth above (the “Effective Date”) is entered into by and between Pono Capital Corp., a Delaware corporation (the “Company”) and [                    ] (the “Executive”). The Company and Executive may collective be referred to as the “Parties” and each individually as a “Party”.</w:t>
        <w:br/>
        <w:t>WHEREAS, the Company now desires to employ the Executive as the [                    ] of the Company and the Executive desires to serve in such capacities on behalf of the Company, in each case subject to the terms and conditions herein;</w:t>
        <w:br/>
        <w:t>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w:t>
        <w:br/>
        <w:t>Employment.</w:t>
        <w:br/>
        <w:t xml:space="preserve">    (a)</w:t>
        <w:br/>
        <w:t>Term. The term of this Agreement (the “Initial Term”) shall begin as of the Effective Date and shall end on the earlier of (i) the third (3rd) anniversary of the Effective Date and (ii) the time of the termination of the Executive’s employment in accordance with Section 2(e).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w:t>
        <w:br/>
        <w:t>Duties. The Company hereby appoints Executive, and Executive shall serve, as the [                    ] of the Company and shall report to the [Chief Executive Officer and the] Board of Directors of the Company (the “Board”) and to such other persons as designated by the [Chief Executive Officer or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2.</w:t>
        <w:br/>
        <w:t>Compensation and Other Benefits. As compensation for the services to be rendered hereunder, during the Term the Company shall pay to the Executive the salary and bonuses, and shall provide the benefits, as set forth in this Section 2.</w:t>
        <w:br/>
        <w:t xml:space="preserve">    (a)</w:t>
        <w:br/>
        <w:t>Base Salary. The Company shall pay to the Executive an annual base salary of $[                    ], payable on a monthly basis commencing on the Effective Date (as the same may be adjusted herein, the “Base Salary”). The Base Salary shall be paid in accordance with the Company’s payroll policies.</w:t>
        <w:br/>
        <w:t xml:space="preserve">  1</w:t>
        <w:br/>
        <w:t xml:space="preserve">  (b)</w:t>
        <w:br/>
        <w:t>Equity Issuances. The Executive shall be eligible to receive awards of options, restricted stock or other equity awards for shares of common stock, par value $0.000001 per share (the “Common Stock”) of the Company (each, if so issued, an “Equity Award”), pursuant to award agreements in form and substance as determined by the Board and which will be entered into by and between the Company and Executive (if and when executed, each an “Award Agreement”). If an Equity Award, if made, is subject to vesting, then such Equity Award shall be subject to vesting and forfeiture as set forth herein and in the applicable Award Agreement.</w:t>
        <w:br/>
        <w:t xml:space="preserve">    (c)</w:t>
        <w:br/>
        <w:t>Bonus. The Executive shall be eligible to receive any discretionary bonuses as determined by the Board.</w:t>
        <w:br/>
        <w:t xml:space="preserve">    (d)</w:t>
        <w:br/>
        <w:t>Fringe Benefits. During the Term, the Executive shall be entitled to fringe benefits consistent with the practices of the Company, and to the extent the Company provides similar benefits to the Company’s executive officers.</w:t>
        <w:br/>
        <w:t xml:space="preserve">    (e)</w:t>
        <w:br/>
        <w:t>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3.</w:t>
        <w:br/>
        <w:t>Termination.</w:t>
        <w:br/>
        <w:t xml:space="preserve">    (a)</w:t>
        <w:br/>
        <w:t>Definition of Cause. For purposes hereof, “Cause” shall mean:</w:t>
        <w:br/>
        <w:t xml:space="preserve">    (i)</w:t>
        <w:br/>
        <w:t>a violation of any material written rule or policy of the Company for which violation any employee may be terminated pursuant to the written policies of the Company reasonably applicable to an executive employee;</w:t>
        <w:br/>
        <w:t xml:space="preserve">    (ii)</w:t>
        <w:br/>
        <w:t>misconduct by the Executive to the material detriment of the Company;</w:t>
        <w:br/>
        <w:t xml:space="preserve">    (iii)</w:t>
        <w:br/>
        <w:t>the Executive’s conviction (by a court of competent jurisdiction, not subject to further appeal) of, or pleading guilty to, a felony;</w:t>
        <w:br/>
        <w:t xml:space="preserve">    (iv)</w:t>
        <w:br/>
        <w:t>the Executive’s gross negligence in the performance of Executive’s duties and responsibilities to the Company as described in this Agreement; or</w:t>
        <w:br/>
        <w:t xml:space="preserve">    (v)</w:t>
        <w:br/>
        <w:t>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2</w:t>
        <w:br/>
        <w:t xml:space="preserve">  (b)</w:t>
        <w:br/>
        <w:t>Definition of Good Reason. For purposes hereof, “Good Reason” shall mean:</w:t>
        <w:br/>
        <w:t xml:space="preserve">    (i)</w:t>
        <w:br/>
        <w:t>at any time following a Change of Control (as defined below), a material diminution by the Company of compensation and benefits (taken as a whole) provided to the Executive immediately prior to a Change of Control;</w:t>
        <w:br/>
        <w:t xml:space="preserve">    (ii)</w:t>
        <w:br/>
        <w:t>a reduction in Base Salary or target or maximum bonus, other than as part of an across-the-board reduction in salaries of management personnel;</w:t>
        <w:br/>
        <w:t xml:space="preserve">    (iii)</w:t>
        <w:br/>
        <w:t>the relocation of the Executive’s principal executive office to a location more than 50 miles further from the Executive’s principal executive office immediately prior to such relocation; or</w:t>
        <w:br/>
        <w:t xml:space="preserve">    (iv)</w:t>
        <w:br/>
        <w:t>a material breach by the Company of any of the terms and conditions of this Agreement which the Company fails to correct within 10 days after the Company receives written notice from Executive of such violation.</w:t>
        <w:br/>
        <w:t xml:space="preserve">    (c)</w:t>
        <w:br/>
        <w:t>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w:t>
        <w:br/>
        <w:t>Termination by the Company. The Company may terminate the Term and Executive’s employment hereunder at any time, with or without Cause, subject to the terms and conditions herein.</w:t>
        <w:br/>
        <w:t xml:space="preserve">    (i)</w:t>
        <w:br/>
        <w:t>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w:t>
        <w:br/>
        <w:t xml:space="preserve">  3</w:t>
        <w:br/>
        <w:t xml:space="preserve">  within 10 days following the termination date; (ii) any unvested portion of any equity granted to Executive hereunder or under any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14.</w:t>
        <w:br/>
        <w:t xml:space="preserve">    (ii)</w:t>
        <w:br/>
        <w:t>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the Base Salary that would have been paid to Executive for the remainder of the Initial Term (if such termination occurs during the Initial Term) or Renewal Term (if such termination occurs during a Renewal Term), as applicable,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14.</w:t>
        <w:br/>
        <w:t xml:space="preserve">    (e)</w:t>
        <w:br/>
        <w:t>Termination by the Executive. The Executive may terminate the Term and resign from Executive’s employment hereunder at any time, with or without Good Reason.</w:t>
        <w:br/>
        <w:t xml:space="preserve">    (i)</w:t>
        <w:br/>
        <w:t>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w:t>
        <w:br/>
        <w:t>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w:t>
        <w:br/>
        <w:t>Termination by Death or Disability. In the event of the Executive’s death or total disability (as defined in Section 22(e)(3) of the Internal Revenue Code of 1986, as</w:t>
        <w:br/>
        <w:t xml:space="preserve">  4</w:t>
        <w:br/>
        <w:t xml:space="preserve">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w:t>
        <w:br/>
        <w:t>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w:t>
        <w:br/>
        <w:t>Change of Control. In the event that a Change of Control occurs during the Term, any unvested portion of any Equity Grants shall, to the extent not already vested, be deemed automatically vested immediately without any further action of the Parties.</w:t>
        <w:br/>
        <w:t xml:space="preserve">    (i)</w:t>
        <w:br/>
        <w:t>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w:t>
        <w:br/>
        <w:t>Payments.</w:t>
        <w:br/>
        <w:t xml:space="preserve">    (a)</w:t>
        <w:br/>
        <w:t>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5</w:t>
        <w:br/>
        <w:t xml:space="preserve">  (b)</w:t>
        <w:br/>
        <w:t>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w:t>
        <w:br/>
        <w:t>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w:t>
        <w:br/>
        <w:t xml:space="preserve">  6</w:t>
        <w:br/>
        <w:t xml:space="preserve">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5.</w:t>
        <w:br/>
        <w:t>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6.</w:t>
        <w:br/>
        <w:t>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7.</w:t>
        <w:br/>
        <w:t>Confidentiality</w:t>
        <w:br/>
        <w:t xml:space="preserve">    (a)</w:t>
        <w:br/>
        <w:t>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7</w:t>
        <w:br/>
        <w:t xml:space="preserve">  (b)</w:t>
        <w:br/>
        <w:t>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w:t>
        <w:br/>
        <w:t>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w:t>
        <w:br/>
        <w:t>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w:t>
        <w:br/>
        <w:t>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w:t>
        <w:br/>
        <w:t xml:space="preserve">  8</w:t>
        <w:br/>
        <w:t xml:space="preserve">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w:t>
        <w:br/>
        <w:t>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w:t>
        <w:br/>
        <w:t>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w:t>
        <w:br/>
        <w:t>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9</w:t>
        <w:br/>
        <w:t xml:space="preserve">  8.</w:t>
        <w:br/>
        <w:t>Intellectual Property Rights.</w:t>
        <w:br/>
        <w:t xml:space="preserve">    (a)</w:t>
        <w:br/>
        <w:t>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w:t>
        <w:br/>
        <w:t>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w:t>
        <w:br/>
        <w:t>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w:t>
        <w:br/>
        <w:t>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w:t>
        <w:br/>
        <w:t>Execution of Documents. In the event Company is unable for any reason, after reasonable effort, to secure Executive’s signature on any document requested by</w:t>
        <w:br/>
        <w:t xml:space="preserve">  10</w:t>
        <w:br/>
        <w:t xml:space="preserve">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w:t>
        <w:br/>
        <w:t>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9.</w:t>
        <w:br/>
        <w:t>Representations and Warranties Relating to Securities. The Equity Award,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9 with respect to the Securities and Executive’s receipt thereof, as of the Effective Date and as of the date of any issuance or granting of any Securities.</w:t>
        <w:br/>
        <w:t xml:space="preserve">    (a)</w:t>
        <w:br/>
        <w:t>Executive is an “accredited investor” as that term is defined in Rule 501(a) of Regulation D promulgated pursuant to the Securities Act (an “Accredited Investor”).</w:t>
        <w:br/>
        <w:t xml:space="preserve">    (b)</w:t>
        <w:br/>
        <w:t>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w:t>
        <w:br/>
        <w:t xml:space="preserve">  11</w:t>
        <w:br/>
        <w:t xml:space="preserve">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w:t>
        <w:br/>
        <w:t>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w:t>
        <w:br/>
        <w:t>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w:t>
        <w:br/>
        <w:t xml:space="preserve">  12</w:t>
        <w:br/>
        <w:t xml:space="preserve">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(e)</w:t>
        <w:br/>
        <w:t>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w:t>
        <w:br/>
        <w:t>Executive understands that no United States federal or state agency or any other government or governmental agency has passed upon or made any recommendation or endorsement of the Securities.</w:t>
        <w:br/>
        <w:t xml:space="preserve">    (g)</w:t>
        <w:br/>
        <w:t>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13</w:t>
        <w:br/>
        <w:t xml:space="preserve">  (h)</w:t>
        <w:br/>
        <w:t>This Agreement has been duly and validly authorized by Executive. This Agreement has been duly executed and delivered on behalf of Executive, and this Agreement constitutes a valid and binding agreement of Executive enforceable in accordance with its terms.</w:t>
        <w:br/>
        <w:t xml:space="preserve">    (i)</w:t>
        <w:br/>
        <w:t>Executive is an individual resident of the state set forth in the notices provision for Executive herein.</w:t>
        <w:br/>
        <w:t xml:space="preserve">    10.</w:t>
        <w:br/>
        <w:t>Effect of Waiver. The waiver by either Party of a breach of any provision of this Agreement shall not operate or be construed as a waiver of any subsequent breach hereof. No waiver shall be valid unless in writing.</w:t>
        <w:br/>
        <w:t xml:space="preserve">    11.</w:t>
        <w:br/>
        <w:t>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w:t>
        <w:br/>
        <w:t xml:space="preserve">    12.</w:t>
        <w:br/>
        <w:t>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13.</w:t>
        <w:br/>
        <w:t>Entire Agreement; Effectiveness of Agreement. This Agreement, any Award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14.</w:t>
        <w:br/>
        <w:t>Survival. The provisions of Section 3, Section 4, Section 5, Section 6, Section 7, Section 8, Section 9 and Section 12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15.</w:t>
        <w:br/>
        <w:t>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14</w:t>
        <w:br/>
        <w:t xml:space="preserve">  16.</w:t>
        <w:br/>
        <w:t>Governing Law and Waiver of Jury Trial.</w:t>
        <w:br/>
        <w:t xml:space="preserve">    (a)</w:t>
        <w:br/>
        <w:t>All questions concerning the construction, validity, enforcement and interpretation of this Agreement shall be determined, and this Agreement shall be governed by and construed and enforced in accordance with the internal laws of the State of Delaware, and for all purposes shall be construed in accordance with the laws of such state, without giving effect to the choice of law provisions of such state.</w:t>
        <w:br/>
        <w:t xml:space="preserve">    (B)</w:t>
        <w:br/>
        <w:t>SUBJECT TO SECTION 18, EACH PARTY AGREES THAT ALL LEGAL PROCEEDINGS CONCERNING THIS AGREEMENT SHALL BE COMMENCED IN THE TOKYO DISTRICT COURTS, OR, SOLELY IN THE EVENT THAT THE TOKYO DISTRICT COURTS ARE UNABLE OR UNWILLING TO ASSERT JURISDICTION WITH RESPECT TO THIS AGREEMENT OR THE ENFORCEMENT OF ANY JUDGEMENT HEREUNDER FOR ANY REASON, THEN IN THE XXXXX XX XXXXXXX XXXXXX XX XXX XXXXXX XXXXXX WITH JURISDICTION IN PALM BEACH COUNTY, FLORIDA (AS APPLICABLE,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w:t>
        <w:br/>
        <w:t>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16(c).</w:t>
        <w:br/>
        <w:t xml:space="preserve">  15</w:t>
        <w:br/>
        <w:t xml:space="preserve">  17.</w:t>
        <w:br/>
        <w:t>Attorneys’ Fees, etc.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w:t>
        <w:br/>
        <w:t>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Tokyo, Japan pursuant to then-prevailing National Rules for the Resolution of Employment Disputes of the American Arbitration Association, provided that in the event that such rules may not be applied in Tokyo, Japan for any reason, then pursuant to arbitration rules as reasonably determined by the Company.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17,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19.</w:t>
        <w:br/>
        <w:t>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w:t>
        <w:br/>
        <w:t>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21.</w:t>
        <w:br/>
        <w:t>Expenses. Other than as specifically set forth herein, each of the Parties will bear their own respective expenses, including legal, accounting and professional fees, incurred in connection with this Agreement and the transactions contemplated herein.</w:t>
        <w:br/>
        <w:t xml:space="preserve">  16</w:t>
        <w:br/>
        <w:t xml:space="preserve">  22.</w:t>
        <w:br/>
        <w:t>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If to the Company:</w:t>
        <w:br/>
        <w:t>Pono Capital Corp</w:t>
        <w:br/>
        <w:t>Attn: Xxxxxx Xxxxxxx</w:t>
        <w:br/>
        <w:t>000 X Xxxxx Xxxxxx, Xxxxx 0 # 000</w:t>
        <w:br/>
        <w:t>Xxxxxxxxxx, Xxxxxxxx 00000</w:t>
        <w:br/>
        <w:t>Email: xxxxxx.xxxxxxx@xxxxxxx.xx</w:t>
        <w:br/>
        <w:t>If to Executive, to:</w:t>
        <w:br/>
        <w:t>[                         ]</w:t>
        <w:br/>
        <w:t>[                         ]</w:t>
        <w:br/>
        <w:t>[                         ]</w:t>
        <w:br/>
        <w:t>Email: [                        ]</w:t>
        <w:br/>
        <w:t xml:space="preserve">    23.</w:t>
        <w:br/>
        <w:t>Headings. The section headings contained in this Agreement are inserted for convenience only and shall not affect in any way the meaning or interpretation of this Agreement.</w:t>
        <w:br/>
        <w:t xml:space="preserve">    24.</w:t>
        <w:br/>
        <w:t>Counsel. The Parties acknowledge and agree that legal counsel to the Company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25.</w:t>
        <w:br/>
        <w:t>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17</w:t>
        <w:br/>
        <w:t xml:space="preserve">  26.</w:t>
        <w:br/>
        <w:t>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[Signatures appear on following page]</w:t>
        <w:br/>
        <w:t xml:space="preserve">  18</w:t>
        <w:br/>
        <w:t>IN WITNESS WHEREOF, the Parties have executed this Agreement as of the Effective Date.</w:t>
        <w:br/>
        <w:t xml:space="preserve">  Pono Capital Corp</w:t>
        <w:br/>
        <w:t xml:space="preserve">By:  </w:t>
        <w:br/>
        <w:t xml:space="preserve">  Name:  </w:t>
        <w:br/>
        <w:t xml:space="preserve">  Title:  </w:t>
        <w:br/>
        <w:t xml:space="preserve">  Executive: [                        ]</w:t>
        <w:br/>
        <w:t xml:space="preserve">By:  </w:t>
        <w:br/>
        <w:t xml:space="preserve">  Name:   [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