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br/>
        <w:t>GRANT AGREEMENT FOR</w:t>
        <w:br/>
        <w:t>LONG-TERM INCENTIVE PROGRAM</w:t>
        <w:br/>
        <w:t>PERFORMANCE-BASED RESTRICTED STOCK UNITS</w:t>
        <w:br/>
        <w:t>FOR SENIOR EXECUTIVES UNDER THE</w:t>
        <w:br/>
        <w:t>MATTEL, INC. AMENDED AND RESTATED</w:t>
        <w:br/>
        <w:t>2010 EQUITY AND LONG-TERM COMPENSATION PLAN</w:t>
        <w:br/>
        <w:t>This is a Grant Agreement (this “Grant Agreement”) between Mattel, Inc. (“Mattel”) and the individual (the “Holder”) named in the Notice of Grant – Performance-Based Restricted Stock Units (the “Notice”). The Notice accompanying this Grant Agreement is deemed a part of this Grant Agreement.</w:t>
        <w:br/>
        <w:t>Recitals</w:t>
        <w:br/>
        <w:t>Mattel has adopted the Amended and Restated 2010 Equity and Long-Term Compensation Plan, as may be amended from time to time (the “Plan”), for the granting to selected employees of awards based upon shares of Common Stock of Mattel. In accordance with the terms of the Plan, the Compensation Committee of the Board of Directors (the “Committee”) has approved the execution of this Grant Agreement between Mattel and the Holder. Capitalized terms used herein without definition shall have the meanings assigned to such terms in the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