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INVESTMENT ADVISORY AGREEMENT (the “Agreement”) made as of this 6th day of November, 2024, by and between The Advisors’ Inner Circle Fund III (the “Trust”), a Delaware statutory trust registered as an investment company under the Investment Company Act of 1940, as amended (the “1940 Act”), and Brown Advisory LLC (the “Adviser”), a limited liability company organized under the laws of the State of Maryland, with the Adviser’s principal place of business at 000 Xxxxx Xxxx Xxxxxx, Xxxxx 000, Xxxxxxxxx, XX 00000.</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said capacity, the Adviser, subject to the supervision of the Board, regularly shall provide each Fund with investment research, advice, and supervision,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&amp; Exchange Commission (the “Commission” or the “SEC”), and to the investment objectives, policies, and restrictions of the Fund, as each of the same from time to time shall be in effect.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in the Adviser’s sole discretion,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and regulations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each Fund, and with any relevant policies, guidelines, instructions, and procedures approved by the Board and provided to the Adviser.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thereunder as a regulated investment company. The Adviser shall maintain compliance procedures that the Adviser reasonably believes are adequate to prevent violation of the foregoing. No supervisory activity undertaken by the Board shall limit the Adviser’s full responsibility for any of the foregoing.</w:t>
        <w:br/>
        <w:t xml:space="preserve">  (c) Subadvisers. In carrying out the Adviser’s responsibilities hereunder in regard to each of the Funds referenced in Schedule A to this Agreement, the Adviser, in the Adviser’s sole discretion to the extent permitted by applicable law, any exemptive orders issued by the SEC applicable to the Funds, or any SEC staff no-action letter applicable to a Fund, shall have the authority hereunder to select, employ, retain, or otherwise avail itself of the services of other persons or entities registered as investment advisers under the Advisers Act (a “subadviser”), including, without limitation, affiliates of the Adviser, at the Adviser’s own cost and expense (including, but not limited to, from Adviser’s compensation payable under this Agreement) on such terms as the Adviser shall determine to be necessary, desirable, or appropriate, to perform some or all of the services for which the Adviser is responsible pursuant to this Agreement. Retention of one or more subadvisers in no way shall reduce or relieve the responsibilities or obligations of the Adviser under this Agreement, and the Adviser shall supervise and oversee the activities of any said subadviser and the Adviser shall be responsible for all acts and omissions of said subadvisers in connection with the performance of the Adviser’s duties hereunder unless otherwise agreed by the parties. Any said subadviser shall be registered under the Advisers Act, be in good standing with the Commission, and be capable of performing the subadviser’s subadvisory duties pursuant to a subadvisory agreement approved by the Trust’s Board and, except as otherwise permitted by the 1940 Act or by Commission rule or regulation, a vote of the majority of the outstanding voting securities of the applicable Fund.</w:t>
        <w:br/>
        <w:t xml:space="preserve">  (d) Proxy Voting. The Board has the authority to determine how proxies with respect to securities that are held by each Fund shall be voted, and the Board has determined to delegate the authority and responsibility to vote proxies for each Fund’s securities to the Adviser. So long as proxy voting authority for the Funds has been delegated to the Adviser, the Adviser shall exercise the Adviser’s proxy voting responsibilities in accordance with the Adviser’s proxy voting policies and procedures adopted by the Board with respect to the Funds. The Adviser shall carry out said responsibilities at all times in a manner consistent with Rule 206(4)-6 under the Advisers Act and the Adviser’s fiduciary responsibilities to the Trust. The Adviser shall provide periodic reports and keep those records relating to proxy voting as the Board reasonably may request or as may be necessary for each of the Funds to comply with the 1940 Act and other applicable law. Any said delegation of proxy voting responsibility to the Adviser may be revoked or modified by the Board at any time.</w:t>
        <w:br/>
        <w:t xml:space="preserve">  2 </w:t>
        <w:br/>
        <w:t xml:space="preserve">  The Adviser is authorized to instruct the Fund’s custodian and/or broker(s) promptly to forward to the Adviser or designate service provider copies of all proxies and shareholder communications relating to securities held in the portfolio of each Fund (other than materials relating to legal proceedings against a Fund). The Adviser also may instruct the Fund’s custodian and/or broker(s) to provide reports of holdings in the portfolio of each Fund.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 xml:space="preserve">  (e) Portfolio Composition File. The Adviser initially shall determine, and shall make any subsequent modifications to, the portfolio composition file (the “PCF”) for each Fund, if and as required. If and as required for a Fund, the PCF shall specify the amount of the cash component, the identity and number of shares of securities to be accepted in exchange for “Creation Units” for each Fund, and the securities that will be applicable that day to redemption requests received for each Fund (and may give directions to the Trust’s custodian with respect to said designations).</w:t>
        <w:br/>
        <w:t xml:space="preserve">  (f) Recordkeeping. The Adviser shall not be responsible for the provision of administrative, bookkeeping, or accounting services to each Fund,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specifically to the Adviser’s responsibilities provided hereunder with respect to each of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within a reasonable timeframe during any day the Trust is open for business.</w:t>
        <w:br/>
        <w:t xml:space="preserve">  3 </w:t>
        <w:br/>
        <w:t xml:space="preserve">  (g) Holdings Information and Pricing. The Adviser shall provide regular reports regarding Fund holdings, and, on the Adviser’s own initiative, may furnish the Trust and the Trust’s Board from time to time with whatever information the Adviser believes is appropriate for this purpose. The Trust acknowledges that the Adviser has been appointed “valuation designee” (within the meaning of Rule 2a-5 under the 1940 Act) with respect to the Funds. The Adviser agrees to effect any fair valuation of the Funds’ securities consistent with the Adviser’s policies and procedures under Rule 2a-5 under the 1940 Act. The Adviser agrees to notify the Trust promptly if the Adviser reasonably believes that the value of any security held by the Fund may not reflect fair value. The Adviser agrees to provide, upon request, any pricing information of which it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(h)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of the Funds as said entities reasonably may request from time to time in the performance of said entities’ obligations, to provide prompt responses to reasonable requests made by said persons, and to establish appropriate interfaces with each said entity so as to promote the efficient exchange of information and compliance with applicable laws and regulations.</w:t>
        <w:br/>
        <w:t xml:space="preserve">  2. Code of Ethics. The Adviser has adopted a written code of ethics that the Adviser reasonably believes complies with the requirements of Rule 17j-1 under the 1940 Act (“Rule 17j-1”), and which the Adviser has provided to the Trust. The Adviser shall make commercially reasonable efforts to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designed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shall notify the Trust of any material violation of the Code.</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upon detection of: (i) any material failure to manage a Fund in accordance with the Fund’s investment objectives and policies or any applicable law; or (ii) any material breach of any of the Funds’ or the Adviser’s policies, guidelines, or procedures. In addition, the Adviser shall provide a quarterly report regarding each Fund’s compliance with the Fund’s investment objectives and policies, applicable law, including, but not limited to, the 1940 Act and Subchapter M of the Code, and the Fund’s policies, guidelines, or procedures as applicable to the Adviser’s obligations under this Agreement. The Adviser agrees to correct any said failure promptly and to take any action that the Board reasonably may request in connection with any said breach. Upon request, the Adviser also shall provide the officers of the Trust with supporting certifications in connection with said certifications of Fund financial statements and disclosure controls pursuant to the Xxxxxxxx-Xxxxx Act of 2002, as amended.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that term is defined in the 1940 Act) has occurred or otherwise is proposed to occur.</w:t>
        <w:br/>
        <w:t xml:space="preserve">  4 </w:t>
        <w:br/>
        <w:t xml:space="preserve">  (b) Board and Filings Information. The Adviser shall provide the Trust with any information reasonably requested regarding the Adviser’s management of the Funds required for any meeting of the Board, or for any shareholder report, Form N-CSR, Form N-PX, Form N-CEN, Form N-PORT, amended registration statement, proxy statement, or prospectus supplement to be filed by the Trust with the Commission. The Adviser shall make the Adviser’s officers and employees reasonably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reasonably necessary to enable the Trust or the Trust’s designated agent to perform such compliance testing on the Funds and the Adviser’s services. The provision of said information by the Adviser to the Trust or the Trust’s designated agent in no way shall relieve the Adviser of the Adviser’s own responsibilities under this Agreement.</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each Fund’s account with brokers or dealers selected by the Adviser. The Adviser will use its discretion in selecting the broker or dealer and will take into account such factors as the Adviser considers to be relevant. In the selection of these brokers or dealers and the placing of these orders, the Adviser is directed at all times to seek for each Fund the most-favorable execution and net price available under the circumstances. The Adviser will not be obligated to seek the lowest available transaction cost. It also is understood that it is desirable for each Fund that the 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Adviser, therefore, is authorized to place orders for the purchase and sale of securities for each Fund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 xml:space="preserve">  5 </w:t>
        <w:br/>
        <w:t xml:space="preserve">  (c) Aggregated Transactions. On occasions when the Adviser deems the purchase or sale of a security to be in the best interest of a Fund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(i) the requirement that the Adviser seek to obtain best execution and price within the policy guidelines determined by the Board and as set forth in the Fund’s current Registration Statement; (ii) the provisions of the 1940 Act; (iii) the provisions of the Advisers Act; (iv) the provisions of the 1934 Act; and (v) other provisions of applicable law. These brokerage services are not within the scope of the duties of the Adviser under this Agreement. Subject to the requirements of applicable law and any procedures adopted by the Board, the Adviser or the Adviser’s affiliates may receive brokerage commissions, fees, or other remuneration from the Fund for these services in addition to the Adviser’s fees for services under this Agreement.</w:t>
        <w:br/>
        <w:t xml:space="preserve">  5. Custody. Nothing in this Agreement shall permit the Adviser to take or receive physical possession of cash, securities, or other investments of a Fund.</w:t>
        <w:br/>
        <w:t xml:space="preserve">  6. Allocation of Charges and Expenses. The Adviser shall bear the Adviser’s own costs of providing services hereunder. Other than as herein specifically indicated, the Adviser shall not be responsible for a Fund’s expenses, including: (a) the fee paid to the Adviser pursuant to this Agreement; (b) interest; (c) taxes; (d) brokerage commissions, and other expenses incurred in placing or settlement of orders for the purchase and sale of securities and other investment instruments; (e) acquired fund fees and expenses; (f) accrued deferred tax liability; (g) extraordinary expenses; and (h) distribution fees and expenses paid by the Trust under any distribution plan adopted by the Board pursuant to Rule 12b-1 under the 1940 Act, as applicable.</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 xml:space="preserve">  6 </w:t>
        <w:br/>
        <w:t xml:space="preserve">  (b) ADV Disclosure. The Adviser has provided the Trust with a complete copy of Part 1 of the Adviser’s Form ADV, as most-recently filed with the Commission, and with a complete copy of Part 2A of the Adviser’s Form ADV, as most-recently updated, and, promptly after filing any amendment to the Adviser’s Form ADV with the Commission or updating Part 2 of the Adviser’s Form ADV, shall furnish a complete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and represents and warrants that said Disclosure Documents, solely with respect to information supplied by Adviser for inclusion therein, contain or shall contain no untrue statement of any material fact relating to the Adviser and the Adviser’s affiliates, each Fund’s investment strategies and related risks, and, solely with respect to information supplied by Adviser for inclusion therein, do not and shall not omit any statement of material fact required to be stated therein or necessary to make the statements therein not misleading.</w:t>
        <w:br/>
        <w:t xml:space="preserve">  (d) Use of the Name “Brown Advisory”. The Adviser has the right to use the name “Brown Advisory” in connection with the Adviser’s services to the Trust and, subject to the terms set forth in Section 8 of this Agreement, the Trust shall have the right to use the name “Brown Advisory”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 “Brown Advisory.”</w:t>
        <w:br/>
        <w:t xml:space="preserve">  (e) Insurance. The Adviser maintains errors and omissions insurance coverage in an appropriate amount and shall provide prior written notice to the Trust: (i) of any material decrease in the Adviser’s insurance policies or insurance coverage; or (ii) if any material claims will be made on the Adviser’s insurance policies.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is in the best interest of the Fund.</w:t>
        <w:br/>
        <w:t xml:space="preserve">  7 </w:t>
        <w:br/>
        <w:t xml:space="preserve">  (g) Conflicts. The Adviser shall act honestly, in good faith, and in the best interests of the Funds,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fiduciary duties under applicable law.</w:t>
        <w:br/>
        <w:t xml:space="preserve">  (h)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 “Brown Advisory”. The Adviser grants to the Trust a license to use the name “Brown Advisory” (the “Name”) as part of the name of each Fund for the duration of this Agreement. The foregoing authorization by the Adviser to the Trust to use the Name as part of the name of a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The Trust: (a) shall submit to Adviser representative samples of any promotional materials using the Name for approval prior to use;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 xml:space="preserve">  8 </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Trust; or</w:t>
        <w:br/>
        <w:t xml:space="preserve">  (c) This Agreement automatically shall terminate two years from the date of the Agreement’s execution unless the renewal of the Agreement is specifically approved prior to the end of the initial two year period and at least annually thereafter by (i) a majority vote of the Trustees, including a majority vote of said Trustees who are not interested persons of the Trust or the Adviser, at a meeting called for the purpose of voting on said approval; or (ii) the vote of a majority of the outstanding voting securities of each Fund; provided, however, that, if the continuance of this Agreement is submitted to the shareholders of a Fund for the shareholders’ approval and said shareholders fail to approve said continuance of this Agreement as provided herein, the Adviser may continue to serve hereunder as to the Fund in a manner consistent with the 1940 Act and the rules and regulations thereunder; and</w:t>
        <w:br/>
        <w:t xml:space="preserve">  (d) Termination of this Agreement pursuant to this Section shall be without payment of any penalty.</w:t>
        <w:br/>
        <w:t xml:space="preserve">  In the event of termination of this Agreement for any reason, the Adviser, upon notice of termination or on such later date as may be specified in said notice, shall cease all activity on behalf of each of the Funds and with respect to any of the Fund’s assets, except as otherwise required by any fiduciary duties of the Adviser under applicable law. In addition, the Adviser shall deliver the Fund Books and Records to the Trust by such means and in accordance with such schedule as the Trust shall reasonably direct, and otherwise shall cooperate, as reasonably directed by the Trust, in the transition of portfolio asset management to any successor of the Adviser.</w:t>
        <w:br/>
        <w:t xml:space="preserve">  9 </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Adviser.</w:t>
        <w:br/>
        <w:t xml:space="preserve">  (a) The Adviser shall have responsibility for the accuracy and completeness (and liability for the lack thereof) of statements in each Fund’s Disclosure Documents specifically derived from information supplied by the Adviser for inclusion therein.</w:t>
        <w:br/>
        <w:t xml:space="preserve">  (b) Notwithstanding Section 14(c) of this Agreement, the Adviser shall be liable to a Fund for any loss (including transaction costs) incurred by the Fund as a result of any trade error or investment made by the Adviser in contravention of: (i) any investment policy, guideline, or restriction set forth in the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Except as expressly set forth in Section 14(b) of this Agreement, absent the Adviser’s material breach of this Agreement or the willful misfeasance, bad faith, gross negligence, or reckless disregard of the obligations or duties hereunder on the part of the Adviser, or its officers, directors, partners, agents, employees and controlling persons, the Adviser shall not be liable for any act or omission in the course of, or connected with, rendering services hereunder or for any losses that may be sustained by a Fund.</w:t>
        <w:br/>
        <w:t xml:space="preserve">  (d) The Adviser shall indemnify and hold harmless the Funds, each affiliated person of the Funds within the meaning of Section 2(a)(3) of the 1940 Act, and each person who controls the Funds within the meaning of Section 15 of the 1933 Act (any said person, a “Fund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Adviser of this Agreement or of the representations and warranties made by the Adviser herein; (ii) any Improper Investment; (iii) any untrue statement of a material fact by the Adviser contained in any Disclosure Document that is specifically derived from information supplied by Adviser for inclusion therein, or the omission by the Adviser in providing such information for use within a Disclosure Document of a material fact required to be stated therein or necessary to make the statements therein not misleading; provided, however, that nothing herein shall be deemed to protect any Fund Indemnified Party who is a Trustee or officer of the Trust against any liability to the Trust or to the Trust’s shareholders to which said Fund Indemnified Party otherwise would be subject by reason or willful misfeasance, bad faith, gross negligence, or reckless disregard of the duties involved in the conduct of said person’s office with the Trust.</w:t>
        <w:br/>
        <w:t xml:space="preserve">  10 </w:t>
        <w:br/>
        <w:t xml:space="preserve">  (e) The Trust shall indemnify and hold harmless the Adviser, each affiliated person of the Adviser within the meaning of Section 2(a)(3) of the 1940 Act, and each person who controls the Adviser within the meaning of Section 15 of the 1933 Act (any said person, an “Adviser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Trust of this Agreement or of the representations and warranties made by the Trust herein; or (ii) any untrue statement of a material fact contained in any Disclosure Document relating to the Trust and the Trust’s affiliates, the Trust’s investment strategies and related risks, and other information not supplied by Adviser for inclusion therein, or the omission by the Trust from a Disclosure Document of a material fact regarding the Trust or the Trust’s investment program required to be stated therein or necessary to make the statements therein not misleading; provided, however, that nothing herein shall be deemed to protect any Adviser Indemnified Party against any liability to the Trust or to the Trust’s shareholders to which said Adviser Indemnified Party otherwise would be subject by reason or willful misfeasance, bad faith, gross negligence, or reckless disregard of the duties.</w:t>
        <w:br/>
        <w:t xml:space="preserve">  (f) Notwithstanding Section 14(e) of this Agreement, an Adviser Indemnified Party shall not be entitled to indemnification under this Agreement if such indemnification by the Trust is inconsistent with the U.S. federal securities laws, including the 1940 Act, the Advisers Act, the 1933 Act and the 1934 Act and the rules and regulations thereunder.</w:t>
        <w:br/>
        <w:t xml:space="preserve">  15. Confidentiality.</w:t>
        <w:br/>
        <w:t xml:space="preserve">  (a) From time to time, a party (the “Discloser”) may disclose, exchange, or make available, the party’s “Confidential Information” (as that term is defined below) to the other parties. For purposes of this Agreement, “Confidential Information” shall mean any information, data, or materials pertaining to the Discloser’s or the Discloser’s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w:t>
        <w:br/>
        <w:t xml:space="preserve">  11 </w:t>
        <w:br/>
        <w:t xml:space="preserve">  (b) Confidential Information shall NOT include: (a) any information that is or becomes generally available to the public through no breach of this Agreement by the recipient of the information (the “Recipient”); (b) any information that is disclosed to the Recipient on a non-confidential basis by a third party who, to the Recipient’s knowledge after due inquiry, has legitimate possession thereof and the unrestricted right to make this disclosure; and (c) any information developed by the Recipient independently of, and without reference to, any Confidential Information disclosed by the Discloser to the Recipient.</w:t>
        <w:br/>
        <w:t xml:space="preserve">  (c) The Recipient acknowledges that any Confidential Information provided by the Discloser to the Recipient shall be used by the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The Recipient agrees: (i) to take reasonable steps to safeguard the Confidential Information from theft, piracy, or unauthorized access, and to hold the Confidential Information in strict confidence and secrecy using at least the same level of care and protection against disclosure as the Recipient uses in protecting the Recipient’s own similar confidential and proprietary information; (ii) not to use the Confidential Information for any purpose other than those purposes related to this Agreement; (iii) not to reveal or disclose the Confidential Information to any individual, firm, or entity without the prior written consent of the Discloser, other than as set forth in (v) below; (iv) to inform third-party recipients of the confidential nature of the Confidential Information; and (v) to disclose Confidential Information to the Recipient’s officers, directors, representatives, agents, or employees only on a “need-to-know” basis and to inform these individuals of their obligations under this Agreement, taking such steps as may be reasonable in the circumstances, or as may be reasonably requested by the Discloser, to prevent any unauthorized disclosure, copying, or use of the Confidential Information. Neither the Discloser nor any of the Discloser’s officers, directors, employees, or controlling persons make any express or implied representation or warranty as to the completeness and accuracy of any Confidential Information, and the Recipient agrees that none of these persons shall have any liability to the Recipient or any of the Recipient’s representatives and agents relating to or arising from the use of any Confidential Information or for any errors therein or omissions therefrom.</w:t>
        <w:br/>
        <w:t xml:space="preserve">  (d) The Recipient acknowledges that any Confidential Information provided pursuant to this Agreement constitutes unique, valuable, and special business of the Discloser. The Recipient agrees that a violation of any material provision of this Section 15 may cause the Discloser irreparable injury for which the Discloser would have no adequate remedy at law, and agrees that the Discloser may be entitled to seek immediate injunctive relief prohibiting said violation, without bond, in addition to any other rights and remedies available to the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The Recipient shall provide the Discloser with prompt written notice of said request or requirement for disclosure, unless prevented by applicable law or regulation. If requested, the Recipient shall reasonably cooperate at the Discloser’s expense in defending against any said court or administrative order.</w:t>
        <w:br/>
        <w:t xml:space="preserve">  12 </w:t>
        <w:br/>
        <w:t xml:space="preserve">  16.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18. Change In the Adviser’s Ownership. The Adviser agrees that the Adviser shall notify the Trust of any material change in the ownership of the Adviser within a reasonable time of said change being effected, excluding any corporate reorganization.</w:t>
        <w:br/>
        <w:t xml:space="preserve">  19.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20. Paragraph Headings. The headings of paragraphs contained in this Agreement are provided for convenience only, form no part of this Agreement, and shall not affect this Agreement’s construction.</w:t>
        <w:br/>
        <w:t xml:space="preserve">  21. Counterparts. This Agreement may be executed simultaneously in two or more counterparts, each of which shall be deemed an original, but all of which together shall constitute one and the same instrument.</w:t>
        <w:br/>
        <w:t xml:space="preserve">  22. Miscellaneous. Where the effect of a requirement of the 1940 Act or the Advisers Act reflected in any provision of this Agreement is altered by a rule, regulation, or order of the SEC, whether of special or general application, said provision shall be deemed to incorporate the effect of said rule, regulation, or order.</w:t>
        <w:br/>
        <w:t xml:space="preserve">  [REMAINDER OF PAGE INTENTIONALLY LEFT BLANK]</w:t>
        <w:br/>
        <w:t xml:space="preserve">  13 </w:t>
        <w:br/>
        <w:t xml:space="preserve">    IN WITNESS WHEREOF, the parties hereto have caused this instrument to be signed on their behalf by their duly-authorized officers as of the date first above written.</w:t>
        <w:br/>
        <w:t xml:space="preserve">    THE ADVISORS’ INNER CIRCLE FUND III,</w:t>
        <w:br/>
        <w:t xml:space="preserve">  on behalf of the Fund(s) listed on Schedule A</w:t>
        <w:br/>
        <w:t xml:space="preserve">      By: /s/ Xxxxxxx X. Xxxxxxx  </w:t>
        <w:br/>
        <w:t xml:space="preserve">    Name: Xxxxxxx X. Xxxxxxx  </w:t>
        <w:br/>
        <w:t xml:space="preserve">    Title: President  </w:t>
        <w:br/>
        <w:t xml:space="preserve">    BROWN ADVISORY LLC</w:t>
        <w:br/>
        <w:t xml:space="preserve">    By: /s/ Xxxxx X. Xxxxxx  </w:t>
        <w:br/>
        <w:t xml:space="preserve">    Name: Xxxxx X. Xxxxxx  </w:t>
        <w:br/>
        <w:t xml:space="preserve">    Title: General Counsel  </w:t>
        <w:br/>
        <w:t xml:space="preserve">  14 </w:t>
        <w:br/>
        <w:t xml:space="preserve">    SCHEDULE A</w:t>
        <w:br/>
        <w:t>to the</w:t>
        <w:br/>
        <w:t>INVESTMENT ADVISORY AGREEMENT,</w:t>
        <w:br/>
        <w:t>dated November 6, 2024, between</w:t>
        <w:br/>
        <w:t>THE ADVISORS’ INNER CIRCLE FUND III</w:t>
        <w:br/>
        <w:t>and</w:t>
        <w:br/>
        <w:t>BROWN ADVISORY LLC</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w:t>
        <w:br/>
        <w:t>Brown Advisory Flexible Equity ETF 0.50%</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