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(d)(8)</w:t>
        <w:br/>
        <w:t xml:space="preserve">  INVESTMENT ADVISORY AGREEMENT</w:t>
        <w:br/>
        <w:t xml:space="preserve">  This Agreement is made and entered into as of May 19, 2023,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 among other things, information about the Fund sufficient for a pricing service or other entity to calculate the Intraday Interim Value of the shares of the Fund every fifteen seconds each Business Day;</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 Notwithstanding the foregoing, the Adviser shall pay all expenses of the Trust,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fees or expenses in connection with any arbitration, litigation or pending or threatened arbitration or litigation, including any settlements in connection therewith; (iii) distribution fees and expenses paid by the Trust under any distribution plan adopted pursuant to Rule 12b-1 under the 1940 Act; (iv) interest and taxes of any kind or nature (including, but not limited to, income, excise, transfer and withholding taxes); (v) any fees and expenses related to the provision of securities lending services; and (vi) the advisory fee payable to the Adviser under this Agreement.</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 Xxxxxx, 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 Xxxxxx, 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GraniteShares Bloomberg Commodity Broad Strategy no K-1 ETF– 0.25% per annum</w:t>
        <w:br/>
        <w:t xml:space="preserve">  GraniteShares HIPS US High Income ETF – 0.70% per annum</w:t>
        <w:br/>
        <w:t xml:space="preserve">  GraniteShares XOUT US Large Cap ETF – 0.60% per annum</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