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THIS INVESTMENT ADVISORY AGREEMENT (the “Agreement”) is made as of this [DATE] of 2024, by and between The 2023 ETF Series Trust (the “Trust”), a Delaware statutory trust registered as an investment company under the Investment Company Act of 1940, as amended (the “1940 Act”), and Pacific Capital Partners Limited (the “Adviser”), a limited company organized under the laws of England and Wales, with the Adviser’s principal place of business at 00 Xxxxxxx Xxxxxx, Xxxxxx, Xxxxxxx, X0X 0XX.</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the Funds. In said capacity, the Adviser, subject to the supervision of the Board, regularly shall provide the Funds with investment research, advice, and supervision,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as notified to the Adviser in writing. Subject to Board or other approval(s) as may be necessary or required (e.g., 1940 Act requirements), changes may be proposed to a Fund’s investment objectives, policies, and restrictions on reasonable prior written notice.</w:t>
        <w:br/>
        <w:t xml:space="preserve">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 For the avoidance of doubt, Adviser shall have no liability for any act or omission of, or for the solvency of, the custodian(s) required under Section 17(f) of the 1940 Act for any Fund.</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the Funds, and with any relevant policies, guidelines, instructions, and procedures approved by the Board and provided to the Adviser in writing.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thereunder as a regulated investment company. The Adviser shall maintain compliance procedures that the Adviser reasonably believes are adequate to ensure the Adviser’s compliance with the foregoing. No supervisory activity undertaken by the Board shall limit the Adviser’s full responsibility for any of the foregoing. The Adviser shall have no liability for any breach of any Fund’s objectives, policies, restrictions, guidelines or procedures resulting or arising from any cause or event outside of the reasonable control of the Adviser. The phrase “cause or event outside of the reasonable control” as used in this paragraph shall have the same meaning given the phrase in Section 14(b) of this Agreement.</w:t>
        <w:br/>
        <w:t xml:space="preserve">  (c) Proxy Voting. The Board has the authority to determine how proxies with respect to securities that are held by each Fund shall be voted, and the Board initially has determined to delegate the authority and responsibility to vote proxies for the Funds’ securities to the Adviser. So long as proxy voting authority for the Funds has been delegated to the Adviser, the Adviser shall exercise the Adviser’s proxy voting responsibilities. The Adviser shall carry out said responsibilities in accordance with any instructions that the Board shall provide from time to time, and at all times in a manner consistent with Rule 206(4)-6 under the Advisers Act and the Adviser’s fiduciary responsibilities to the Trust. The Adviser shall provide periodic reports and keep those records relating to proxy voting as the Board reasonably may request or as may be necessary for the Funds to comply with the 1940 Act and other applicable law. Any said delegation of proxy voting responsibility to the Adviser may be revoked or modified by the Board at any time on written notice to the Adviser.</w:t>
        <w:br/>
        <w:t xml:space="preserve">  The Adviser is authorized to instruct the Funds’ custodian and/or broker(s) promptly to forward to the Adviser or designate service provider copies of all proxies and shareholder communications relating to securities held in the portfolios of the Funds (other than materials relating to legal proceedings against the Funds). The Adviser also may instruct the Funds’ custodian and/or broker(s) to provide reports of holdings in the portfolios of the Funds.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 xml:space="preserve">        (d) Portfolio Composition File. The Adviser initially shall determine, and shall make any subsequent modifications to, the portfolio composition file (the “PCF”) for each Fund, if and as required. If and as required for a Fund, the PCF shall specify the amount of the cash component, the identity and number of shares of securities to be accepted in exchange for “Creation Units” for the Fund, and the securities that shall be applicable that day to redemption requests received for the Fund (and may give directions to the Trust’s custodian with respect to said designations).</w:t>
        <w:br/>
        <w:t xml:space="preserve">  (e) Recordkeeping. The Adviser shall not be responsible for the provision of administrative, bookkeeping, or accounting services to the Funds,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to the Adviser’s responsibilities provided hereunder with respect to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without delay during any day the Trust is open for business.</w:t>
        <w:br/>
        <w:t xml:space="preserve">  (f) Holdings Information and Pricing. The Adviser shall provide regular reports regarding Fund holdings, and, on the Adviser’s own initiative, may furnish the Trust and the Trust’s Board from time to time with whatever information the Adviser believes is appropriate for this purpose. The Adviser agrees to notify the Trust promptly if the Adviser reasonably believes that the value of any security held by the Fund may not reflect fair value. The Adviser agrees to provide, upon request, any pricing information of which the Adviser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(g)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the Funds as said entities reasonably may request from time to time in the performance of said entities’ obligations, to provide prompt responses to reasonable requests made by said persons, and to establish appropriate interfaces with each entity so as to promote the efficient exchange of information and compliance with applicable laws and regulations.</w:t>
        <w:br/>
        <w:t xml:space="preserve">  (h) Selection of Sub-Advisers. Subject to the prior approval of the Board and, to the extent required by the 1940 Act and the rules and regulations under the 1940 Act, subject to any applicable guidance or interpretation of the Securities and Exchange Commission or its staff, by the shareholders of the Fund, the Adviser may, from time to time, delegate to a sub-adviser or sub-administrator any of the Adviser’s duties under this Agreement, including the management of all or a portion of the assets being managed. In all instances, however, the Adviser must oversee the provision of delegated services, the Adviser must bear the separate costs of employing any sub-adviser or sub-administrator, and no delegation will relieve the Adviser of any of its obligations under this Agreement.</w:t>
        <w:br/>
        <w:t xml:space="preserve">  2. Code of Ethics. The Adviser has adopted a written code of ethics that the Adviser reasonably believes complies with the requirements of Rule 17j-1 under the 1940 Act (“Rule 17j-1”), and which the Adviser has provided to the Trust. The Adviser shall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necessary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immediately shall notify the Trust of any material violation of the Code, whether or not said violation relates to a security held by a Fund.</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immediately upon detection of: (i) any material failure to manage a Fund in accordance with the Fund’s investment objectives and policies or any applicable law; (ii) any material breach of any of the Adviser’s policies, guidelines, or procedures; or (iii) any material breach of a Fund’s policies, guidelines, or procedures that the Adviser has been notified of in writing. In addition, the Adviser shall provide a quarterly report regarding each Fund’s compliance with the Fund’s investment objectives and policies, applicable law, including, but not limited to, the 1940 Act and Subchapter M of the Code, and the Fund’s policies, guidelines, or procedures that the Adviser has been notified of in writing and as applicable to the Adviser’s obligations under this Agreement. The Adviser agrees to correct any said failure promptly and to take any action that the Board reasonably may request in connection with any said breach.</w:t>
        <w:br/>
        <w:t xml:space="preserve">        Upon request, the Adviser also shall provide the officers of the Trust with supporting certifications in connection with said certifications of Fund financial statements and disclosure controls pursuant to the Xxxxxxxx-Xxxxx Act of 2002, as amended.</w:t>
        <w:br/>
        <w:t xml:space="preserve">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that term is defined in the 1940 Act) has occurred or otherwise is proposed to occur.</w:t>
        <w:br/>
        <w:t xml:space="preserve">  (b) Board and Filings Information. The Adviser shall provide the Trust with any information reasonably requested regarding the Adviser’s management of the Funds required for any meeting of the Board, or for any shareholder report, amended registration statement, proxy statement, prospectus supplement, or any other periodic report to be filed by the Trust with the Commission. The Adviser shall make the Adviser’s officers and employees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the Trust’s designated agent to perform such compliance testing on the Funds and the Adviser’s services as the Trust, in the Trust’s sole discretion, may determine to be appropriate. The provision of said information by the Adviser to the Trust or the Trust’s designated agent in no way shall relieve the Adviser of the Adviser’s own responsibilities under this Agreement.</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each Fund’s account with brokers or dealers selected by the Adviser. In the selection of these brokers or dealers and the placing of these orders, the Adviser is directed at all times to seek for each Fund the most-favorable execution and net price available under the circumstances. The Adviser will execute transactions in accordance with its execution policy, a summary of which has been provided to the Board. The Trust agrees that the Adviser may execute trades outside a Trading Venue (as defined in the FCA Rules).</w:t>
        <w:br/>
        <w:t xml:space="preserve">        (c) Aggregated Transactions. On occasions when the Adviser deems the purchase or sale of a security to be in the best interest of a Fund as well as other clients of the Adviser, the Adviser, to the extent permitted by applicable law and regulations and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(i) the requirement that the Adviser seek to obtain best execution and price within the policy guidelines determined by the Board and as set forth in the Fund’s current Registration Statement; (ii) the provisions of the 1940 Act; (iii) the provisions of the Advisers Act; (iv) the provisions of the 1934 Act; and (v) other provisions of applicable law. These brokerage services are not within the scope of the duties of the Adviser under this Agreement. Subject to the requirements of applicable law, including the FCA Rules, and any procedures adopted by the Board, the Adviser or the Adviser’s affiliates may receive brokerage commissions, fees, or other remuneration from the Fund for these services in addition to the Adviser’s fees for services under this Agreement.</w:t>
        <w:br/>
        <w:t xml:space="preserve">  5. Custody. Nothing in this Agreement shall permit the Adviser to take or receive physical possession of cash, securities, or other investments of a Fund.</w:t>
        <w:br/>
        <w:t xml:space="preserve">  6. Adviser’s Own Costs. The Adviser shall bear the Adviser’s own costs of providing services hereunder. The Adviser agrees to pay all expenses incurred by the Funds except for the fee paid to the Adviser pursuant to this Agreement and any value-added-tax or other sales tax calculated on such fee; interest charges on any borrowings, taxes, brokerage commissions, and other expenses incurred in placing orders for the purchase and sale of securities and other investment instruments; fees and expense related to the provision of securities lending services; acquired fund fees and expenses; accrued deferred tax liability; legal fees or expenses in connection with any arbitration, litigation or pending or threatened arbitration or litigation, including any settlements in connection therewith; extraordinary expenses (as determined by the Board); and distribution fees and expenses paid by the Trust under any distribution plan adopted pursuant to Rule 12b-1 under the 1940 Act.</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 xml:space="preserve">        (b) ADV Disclosure. The Adviser has provided the Trust with a complete copy of Part I of the Adviser’s Form ADV, as most-recently filed with the Commission, and with a complete copy of Part II of the Adviser’s Form ADV, as most-recently updated, and, promptly after filing any amendment to the Adviser’s Form ADV with the Commission or updating Part II of the Adviser’s Form ADV, shall furnish a complete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and represents and warrants that said Disclosure Documents contain or shall contain no untrue statement of any material fact relating to the Adviser and the Adviser’s affiliates, each Fund’s investment strategies and related risks, and other information supplied by Adviser for inclusion therein, and do not and shall not omit any statement of material fact required to be stated therein or necessary to make the statements therein not misleading.</w:t>
        <w:br/>
        <w:t xml:space="preserve">  (d) Use of the Name “Pacific”. The Adviser has the right to use the name “Pacific” in connection with the Adviser’s services to the Trust and, subject to the terms set forth in Section 8 of this Agreement, the Trust shall have the right to use the name “Pacific”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 “Pacific.”</w:t>
        <w:br/>
        <w:t xml:space="preserve">  (e) Insurance. The Adviser maintains errors and omissions insurance coverage in what it believes, acting in good faith and in a commercially reasonable manner, to be an appropriate amount and shall provide prior written notice to the Trust: (i) of any material changes in the Adviser’s insurance policies or insurance coverage; or (ii) if any material claims will be made on the Adviser’s insurance policies which might reasonably be expected to materially adversely affect the performance of services by the Adviser to the Trust.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is in the best interest of the Fund.</w:t>
        <w:br/>
        <w:t xml:space="preserve">  (g) Conflicts. The Adviser shall act honestly, in good faith, and in the best interests of the Trust,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fiduciary duties under applicable law.</w:t>
        <w:br/>
        <w:t xml:space="preserve">        (h) Tax. The Adviser shall, and shall procure that any sub-adviser to which services are delegated in accordance with Section 1(h) shall, use all reasonable efforts to not engage in investments and transactions in such a way to cause any Fund (or any investor in any Fund) to be subject to tax on a net income basis or considered to be engaged in a trade or business, in any jurisdiction in which it performs its duties under this Agreement. For the avoidance of doubt, the Adviser shall, and shall procure that any such sub-adviser shall, use all reasonable efforts to operate in a way which satisfies the conditions of the “investment manager exemption” as set out in Chapter 1 of Part 14 of the Income Tax Act 2007 (in relation to income tax) and/or Chapter 2 of Part 24 of the Corporation Tax Act 2010 (in relation to corporation tax) of the United Kingdom.</w:t>
        <w:br/>
        <w:t xml:space="preserve">  (i) Investment Manager Exemption. The Advisor represents, warrants and undertakes to each Fund, and shall procure that each sub-adviser to which services are delegated in accordance with Section 1(h) represents, warrants and undertakes, that:</w:t>
        <w:br/>
        <w:t xml:space="preserve">  (i) it will at all times be carrying on a business of providing investment management services and all investment transactions carried out pursuant to this Agreement will be carried out by it in the ordinary course of its investment management business;</w:t>
        <w:br/>
        <w:t xml:space="preserve">  (ii) the investment management services provided by it pursuant to this Agreement (or to any person connected with the Funds (or any investor in the Funds) for United Kingdom tax purposes) will at no time represent more than 70% of its investment management business in terms of fees or any other measure (the “70% Test”);</w:t>
        <w:br/>
        <w:t xml:space="preserve">  (iii) neither it nor any person who is connected with it for United Kingdom tax purposes will directly or indirectly have a beneficial entitlement to more than 20% of the profits of any Fund for any relevant accounting period (provided however that for this purpose the management fees and performance fees received by it pursuant to this Agreement can be disregarded if and to the extent that the fees so received do not exceed the amount that would be paid between independent parties acting at arm’s length);</w:t>
        <w:br/>
        <w:t xml:space="preserve">  (iv) the amount of the management fees and performance fees received by it pursuant to this Agreement in respect of each accounting period will not be less than the amount that would be paid between independent parties acting at arm’s length;</w:t>
        <w:br/>
        <w:t xml:space="preserve">  (v) any transaction constituting an acquisition or disposal of investments which is made on behalf of any Fund in the United Kingdom will be carried out on behalf of any Fund by a broker-dealer who satisfies the following conditions: (i) that at the time of the transaction, the broker-dealer is carrying on the business of a broker-dealer; (ii) that the transaction is carried out in the ordinary course of that business; (iii) that the remuneration which the broker-dealer receives in respect of the transaction for the provision of the brokerage services is not less than is customary for that class of business; and (iv) that the broker-dealer does not otherwise fall to be treated as either (A) a “permanent establishment” of the Fund for the purposes of United Kingdom corporation tax in relation to any other transaction carried out in the same accounting period of the relevant Fund as a transaction in question; or (B) a “United Kingdom representative” of such Fund for the purposes of United Kingdom income tax or capital gains tax in relation to any other amounts which are chargeable to either of these taxes in the same tax year as the income arising from the transaction in question.</w:t>
        <w:br/>
        <w:t xml:space="preserve">        (j)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 “Pacific”. The Adviser grants to the Trust a license to use the name “Pacific” (the “Name”) as part of the name of each Fund for the duration of this Agreement. The foregoing authorization by the Adviser to the Trust to use the Name as part of the name of the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At the request of the Adviser, the Trust: (a) shall submit to Adviser representative samples of any promotional materials using the Name;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 Any fee is calculated exclusive of any value-added-tax or other sales tax calculated thereon (if any).</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(a) This Agreement shall become effective as of the date executed and shall remain in full force and effect continually thereafter, subject to renewal as provided in Section 12(a)(iii) hereof, and unless terminated automatically as set forth in Section 11 hereof or until terminated as follows:</w:t>
        <w:br/>
        <w:t xml:space="preserve">  (i) The Trust may cause this Agreement to terminate either (A) by vote of the Trust’s Board or (B) with respect to a Fund, upon the affirmative vote of a majority of the outstanding voting securities of the Fund; or</w:t>
        <w:br/>
        <w:t xml:space="preserve">  (ii)  The Adviser at any time may terminate this Agreement by not more than sixty (60) days’ nor less than thirty (30) days’ written notice delivered or mailed by registered mail, postage prepaid, to the Trust; or</w:t>
        <w:br/>
        <w:t xml:space="preserve">  (iii) This Agreement automatically shall terminate with respect to a Fund two (2) years from the Effective Date specified for that Fund on Schedule A hereto unless the Agreement’s renewal with respect to that Fund specifically is approved at least annually thereafter by (A) a majority vote of the Trustees, including a majority vote of said Trustees who are not interested persons of the Trust or the Adviser, at a meeting called for the purpose of voting on said approval; or (B) the vote of a majority of the outstanding voting securities of the Fund; provided, however, that, if the continuance of this Agreement is submitted to the shareholders of a Fund for the shareholders’ approval and said shareholders fail to approve said continuance of this Agreement as provided herein, then the Adviser may continue to serve hereunder as to the Fund in a manner consistent with the 1940 Act and the rules and regulations thereunder.</w:t>
        <w:br/>
        <w:t xml:space="preserve">  (b) Termination of this Agreement pursuant to this Section shall be without payment of any penalty.</w:t>
        <w:br/>
        <w:t xml:space="preserve">  (c)  In the event of termination of this Agreement for any reason, the Adviser, immediately upon notice of termination or on such later date as may be specified in said notice, shall cease all activity on behalf of each of the Funds and with respect to any of the Fund’s assets, except as otherwise required by any fiduciary duties of the Adviser under applicable law. In addition, the Adviser shall deliver the Fund Books and Records to the Trust by such means and in accordance with such schedule as the Trust shall direct, and otherwise shall cooperate, as reasonably directed by the Trust, in the transition of portfolio asset management to any successor of the Adviser.</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w:t>
        <w:br/>
        <w:t xml:space="preserve">  (a) In the absence of any willful misfeasance, bad faith, or gross negligence in the performance of its duties or obligations hereunder, or the reckless disregard of its duties or obligations hereunder, neither the Adviser nor its directors, officers, or employees shall be liable for any error of judgment or mistake of law or for any loss suffered by the Trust or its shareholders in connection with the matters to which this Agreement relates including, without limitation, losses that may be sustained in connection with the purchase, holding, redemption, or sale of any security or other investment by the Trust, except:</w:t>
        <w:br/>
        <w:t xml:space="preserve">  (i) The Adviser shall have responsibility for the accuracy and completeness (and liability for the lack thereof) of statements in each Fund’s Disclosure Documents relating to the Adviser and the Adviser’s affiliates, each Fund’s investment strategies and related risks, and other information supplied by the Adviser for inclusion therein.</w:t>
        <w:br/>
        <w:t xml:space="preserve">  (ii) The Adviser shall be liable to a Fund for any loss (including transaction costs) incurred by the Fund as a result of any trade error or investment made by the Adviser in contravention of: (i) any investment policy, guideline, or restriction set forth in the Trust’s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w:t>
        <w:br/>
        <w:t xml:space="preserve">  (b) Notwithstanding anything in this Agreement to the contrary, the Adviser shall not be liable for any failure or delay in performing any of its obligations under or pursuant to this Agreement, and any such failure or delay in performing its obligations will not constitute a breach of this Agreement, to the extent such failure or delay is due to any cause or event whatsoever outside its reasonable control and it shall be entitled to a reasonable extension of the time for performing such obligations as a result of such cause. Causes and/or events outside the Adviser’s reasonable control may include without limitation: acts of God; any change to the law, order or regulation of a government, supranational or regulatory body; currency restrictions, devaluations and fluctuations; any act of terrorism; market conditions affecting the execution or settlement of transactions or the value of assets; failure or breakdown of communications not reasonably within the Adviser’s control; and the failure of any relevant exchange or clearing house and shall include any event or circumstance that the Adviser is unable, using reasonable skill and care, to avoid.</w:t>
        <w:br/>
        <w:t xml:space="preserve">        15.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16. Limitation of Liability.</w:t>
        <w:br/>
        <w:t xml:space="preserv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17. Change In the Adviser’s Ownership. The Adviser agrees that the Adviser shall notify the Trust of any anticipated or otherwise reasonably foreseeable change in the ownership of the Adviser within a reasonable time prior to said change being effected.</w:t>
        <w:br/>
        <w:t xml:space="preserve">  18.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19. Paragraph Headings. The headings of paragraphs contained in this Agreement are provided for convenience only, form no part of this Agreement, and shall not affect this Agreement’s construction.</w:t>
        <w:br/>
        <w:t xml:space="preserve">  20. Counterparts.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IN WITNESS WHEREOF, the parties hereto have caused this instrument to be signed on their behalf by their duly-authorized officers as of the date first above written.</w:t>
        <w:br/>
        <w:t xml:space="preserve">   THE 2023 ETF SERIES TRUST</w:t>
        <w:br/>
        <w:t xml:space="preserve">on behalf of the Fund(s) listed on Schedule A </w:t>
        <w:br/>
        <w:t xml:space="preserve">            By:    </w:t>
        <w:br/>
        <w:t xml:space="preserve">    Name:  </w:t>
        <w:br/>
        <w:t xml:space="preserve">    Title:  </w:t>
        <w:br/>
        <w:t xml:space="preserve">    Pacific Capital Partners Limited    </w:t>
        <w:br/>
        <w:t xml:space="preserve">        By:    </w:t>
        <w:br/>
        <w:t xml:space="preserve">    Name:  </w:t>
        <w:br/>
        <w:t xml:space="preserve">    Title:  </w:t>
        <w:br/>
        <w:t xml:space="preserve">        SCHEDULE A</w:t>
        <w:br/>
        <w:t>to the</w:t>
        <w:br/>
        <w:t>INVESTMENT ADVISORY AGREEMENT,</w:t>
        <w:br/>
        <w:t>dated [DATE], 2024, between</w:t>
        <w:br/>
        <w:t>THE 2023 ETF SERIES TRUST</w:t>
        <w:br/>
        <w:t>and</w:t>
        <w:br/>
        <w:t>Pacific Capital Partners Limited</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 Effective Date</w:t>
        <w:br/>
        <w:t>Pacific NoS Global EM Equity Active ETF 0.75% [-],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