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485BPOS</w:t>
        <w:br/>
        <w:t xml:space="preserve">  Exhibit 99(d)(x)</w:t>
        <w:br/>
        <w:t xml:space="preserve">  INVESTMENT ADVISORY AGREEMENT</w:t>
        <w:br/>
        <w:t xml:space="preserve">  This Investment Advisory Agreement (the “Agreement”) is made as of October 10,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w:t>
        <w:br/>
        <w:t xml:space="preserve">  1.1.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w:t>
        <w:br/>
        <w:t xml:space="preserve">  1.2.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(and other financial instruments) shall be purchased for each Fund, what securities (and other financial instruments) shall be held, exchanged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w:t>
        <w:br/>
        <w:t xml:space="preserve">  1</w:t>
        <w:br/>
        <w:t xml:space="preserve">    1.3.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engage, terminate and replace one or more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2</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3</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4</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6</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all expenses incurred by the Trust and each Fund (except for advisory fees payable to the Adviser under this Agreement)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the Adviser shall furnish such information as may be reasonably necessary for the Board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 If the Adviser enters into a definitive agreement that would result in an assignment (as defined in Section 2(a)(4) of the 1940 Act) of this Agreement by the Adviser, the Adviser agrees to give the Trust the lesser of sixty days’ written notice and such notice as is reasonably practicable before consummating the transaction.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10</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 Where the effect of a requirement of the 1940 Act reflected in or contemplated by any provisions of this Agreement is altered by a rule, regulation or order of the SEC, whether of special or general application, such provision shall be deemed to incorporate the effect of such rule, regulation or order.</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11</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27. No Third Party Beneficiaries. This Agreement is not intended and shall not convey any rights, privileges, claims or remedies to any person other than a party to this Agreement and its respective successors and permitted assigns.</w:t>
        <w:br/>
        <w:t xml:space="preserve">  [Signature Page Follows]</w:t>
        <w:br/>
        <w:t xml:space="preserve">  12</w:t>
        <w:br/>
        <w:t xml:space="preserve">    IN WITNESS WHEREOF, the parties hereto have this Agreement to be executed by their duly authorized officers on the day and year first written above.</w:t>
        <w:br/>
        <w:t xml:space="preserve">  TIDAL TRUST III</w:t>
        <w:br/>
        <w:t xml:space="preserve">  On behalf of each series listed on Schedule A attached hereto</w:t>
        <w:br/>
        <w:t xml:space="preserve">  By: /s/ Xxxx Xxxxxxx  </w:t>
        <w:br/>
        <w:t xml:space="preserve">Name: Xxxx X. Xxxxxxx  </w:t>
        <w:br/>
        <w:t xml:space="preserve">Title: President  </w:t>
        <w:br/>
        <w:t xml:space="preserve">   TIDAL INVESTMENTS LLC</w:t>
        <w:br/>
        <w:t xml:space="preserve">  By: /s/ Xxx Xxxxxxx  </w:t>
        <w:br/>
        <w:t xml:space="preserve">Name: Xxxxxx X. Xxxxxxx  </w:t>
        <w:br/>
        <w:t xml:space="preserve">Title: Chief of Staff  </w:t>
        <w:br/>
        <w:t xml:space="preserve">  13</w:t>
        <w:br/>
        <w:t xml:space="preserve">    Schedule A</w:t>
        <w:br/>
        <w:t>to the</w:t>
        <w:br/>
        <w:t>Investment Advisory Agreement</w:t>
        <w:br/>
        <w:t>by and between</w:t>
        <w:br/>
        <w:t>Tidal Trust III</w:t>
        <w:br/>
        <w:t>and</w:t>
        <w:br/>
        <w:t>Tidal Investments LLC</w:t>
        <w:br/>
        <w:t xml:space="preserve">  Fund Name Advisory Fee</w:t>
        <w:br/>
        <w:t>Xxx Xxxxx Research 360o Dynamic Allocation ETF 0.65%</w:t>
        <w:br/>
        <w:t>Xxx Xxxxx Research 360º Core Equity ETF 0.65%</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