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 xml:space="preserve">  Exhibit 99(d)(xiii)</w:t>
        <w:br/>
        <w:t xml:space="preserve">  INVESTMENT ADVISORY AGREEMENT</w:t>
        <w:br/>
        <w:t xml:space="preserve">  This Investment Advisory Agreement (the “Agreement”) is made as of September 24,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