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BETWEEN</w:t>
        <w:br/>
        <w:t>INVESTMENT MANAGERS SERIES TRUST</w:t>
        <w:br/>
        <w:t>AND</w:t>
        <w:br/>
        <w:t>XXXX &amp; XXXXXX, INC.</w:t>
        <w:br/>
        <w:t xml:space="preserve">  THIS INVESTMENT ADVISORY AGREEMENT (the “Agreement”), dated as of July 1, 2024, is entered into by and between Investment Managers Series Trust, a Delaware statutory trust (the “Trust”), on behalf of its series listed in Appendix A, as amended from time to time (each a “Fund”), and Xxxx &amp; Xxxxxx, Inc., an Ohio Sub-Chapter S Corporation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NOW, THEREFORE, in consideration of the mutual premises and covenants herein contained and other good and valuable consideration, the receipt of which is hereby acknowledged, it is agreed by and between the parties hereto as follows:</w:t>
        <w:br/>
        <w:t xml:space="preserve">  1.         In General. The Advisor agrees, all as more fully set forth herein, to act as investment advisor to each Fund with respect to the investment of the Fund’s assets and to supervise and arrange for the purchase of securities for and the sale of securities held in the investment portfolio of the Fund.</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(i) assess the Fund’s investment focus and investment strategy for each sub-advised portfolio of the Fund; (ii) perform diligence on and monitor the investment performance and adherence to compliance procedures of each investment sub-advisor providing services to the Fund; and (iii) seek to implement decisions with respect to the allocation and reallocation of the Fund’s assets among one or more current or additional investment sub-advisors from time to time, as the Advisor deems appropriate, to enable the Fund to achieve its investment goals. The Advisor shall notify the Trust in writing of any change of control of the Sub-advisor at least 90 days prior to any such changes and any changes in the key personnel who are either the portfolio manager(s) of the Fund or senior management of the Sub-Advisor, and, if the Sub-advisor is a partnership, of any changes in the membership of such partnership, as required by Section 205(a) of the Investment Advisers Act of 1940, as amended (the “Adviser’s Act”).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1</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 term.  In no instance, however, will the Fund’s securities be purchased from or sold to the Advisor, or any affiliated person thereof, except to the extent permitted by the SEC or by applicable law;</w:t>
        <w:br/>
        <w:t xml:space="preserve"> 2</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when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 or will provide the Trust with at least 30 days’ advance written notice if the Advisor obtains such insurance in a lesser amount;</w:t>
        <w:br/>
        <w:t xml:space="preserve">  (e)        will furnish the Trust and the administrator monthly, quarterly and annual reports concerning portfolio transactions and performance of each Fund in such form as may be mutually agreed upon, and agrees to review each Fund and discuss the management of each Fund. Further, the Advisor will permit all books and records with respect to each Fund to be inspected by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portions of all letters received by the Advisor during the term of this Agreement from the staff of the U.S. Securities and Exchange Commission regarding its examination of the activities of the Advisor that are relevant to the management of each Fund;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 xml:space="preserve"> 3</w:t>
        <w:br/>
        <w:t xml:space="preserve">  4.         Obligations of the Trust.</w:t>
        <w:br/>
        <w:t xml:space="preserve">  (a)        The Trust will provide (or cause the Custodian (as defined in Section 5 hereof) to provide) timely information to the Advisor regarding such matters as the composition of assets of each Fund, cash requirements and cash available for investment in each Fund, and all other information as may be reasonably necessary for the Advisor to perform its responsibilities hereunder.</w:t>
        <w:br/>
        <w:t xml:space="preserve">  (b)        The Trust will furnish the Advisor a copy of the prospectus and statement of additional information of each Fund and agrees during the continuance of this Agreement to furnish the Advisor copies of any revisions or supplements thereto at, or, if practicable, before the time the revisions or supplements become effective. The Trust agrees to furnish the Advisor with copies of any financial statements or reports made by each Fund to its shareholders, and any further materials or information which the Advisor may reasonably request to enable it to perform its duties under this Agreement.</w:t>
        <w:br/>
        <w:t xml:space="preserve">  5.         Custodian. The assets of each Fund shall be maintained in the custody of a custodian as selected by the Trust (or any sub-custodian thereof properly appointed) (the “Custodian”). The Advisor shall have no liability for the acts or omissions of the Custodian, unless such act or omission is taken solely in reliance upon instruction given to the Custodian by a representative of the Advisor properly authorized to give such instruction in accordance with the custody agreement. Any assets added to each Fund shall be delivered directly to the Custodian.</w:t>
        <w:br/>
        <w:t xml:space="preserve">  6.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7.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8.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The Advisor or the affiliated broker or dealer cannot participate in this type of transaction (known as a cross transaction) on behalf of an advisory client and retain commissions from one or both parties to the transaction without the advisory client’s consent.  This prohibition exists because when the Advisor makes an investment decision on behalf of an advisory client (in contrast to a brokerage client that makes its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provided that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 xml:space="preserve"> 4</w:t>
        <w:br/>
        <w:t xml:space="preserve">  9.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5</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10.        Compensation of the Advisor. Each Fund agrees to pay to the Advisor and the Advisor agrees to accept as full compensation for all services rendered by the Advisor pursuant to this Agreement,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 xml:space="preserve">  11.        Advisor’s Liability. The parties acknowledge that the Trust has engaged third party service providers to assist it in the preparation and maintenance of the Funds’ registration statement and that the Advisor is not responsible for the form or content of such registration statement, except with respect to specific information the Advisor provides to the Trust or such third party service providers expressly for the purpose of inclusion in the registration statement. The Trust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Advisor. Except as may otherwise be provided in the 1940 Act or other federal securities laws, the Advisor will not be liable to the Trust, the series or any shareholder of the series for any error of judgment or mistake of law or any loss arising out of any investment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Advisor’s part in the performance of its duties or from reckless disregard by Advisor of its duties under this Agreement.</w:t>
        <w:br/>
        <w:t xml:space="preserve">  12.        Duration and Termination. This Agreement shall become effective with respect to each Fund as of the corresponding effective date indicated in Appendix A and, unless sooner terminated with respect to a Fund as provided herein, shall continue in effect for a period of two years as to such Fund. Thereafter, if not terminated, this Agreement shall continue in effect with respect to the Fund for successive periods of 12 months, provided such continuance is specifically approved at least annually by both (a) the vote of a majority of the Trust’s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Trust at any time as to a Fund, without the payment of any penalty, upon giving the Advisor 60 days’ notice (which notice may be waived by the Advisor), provided that such termination by the Trust shall be directed or approved by the vote of a majority of the Trustees of the Trust in office at the time or by the vote of the holders of a majority of the voting securities of the Fund at the time outstanding and entitled to vote, or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6</w:t>
        <w:br/>
        <w:t xml:space="preserve">  13.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14.      Amendment of this Agreement. This Agreement may only be amended by an instrument in writing signed by the parties hereto. Any amendment of this Agreement shall be subject to the 1940 Act.</w:t>
        <w:br/>
        <w:t xml:space="preserve">  15.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 Any legal suit, action or proceeding related to, arising out of or concerning this Agreement shall be brought only in the Court of Chancery of the State of Delaware unless the Trust, in its sole discretion, consents in writing to an alternative forum, or if any such action may not be brought in that court, then such action shall be brought in any other court in the State of Delaware with jurisdiction (the “Designated Courts”). Each party (a) consents to jurisdiction in the Designated Courts, (b) waives any objection to venue in either Designated Court, and (c) waives any objection that either Designated Court is an inconvenient forum.</w:t>
        <w:br/>
        <w:t xml:space="preserve">  16.      Use of the Names of the Fund.  The Advisor has consented to the use by each Fund of the name or identifying word in whole or in part “Xxxx &amp; Xxxxxx, Inc.” in the name of the Fund.  Such consent is conditioned upon the employment of the Advisor as the investment advisor to the Fund.  The name or identifying word in whole or in part “Xxxx &amp; Xxxxxx, Inc.” may be used from time to time in other connections and for other purposes by the Advisor and any of its affiliates.  The Advisor may require any Fund to cease using “Xxxx &amp; Xxxxxx, Inc.” in the name of the Fund and in connection with the Fund’s operations if the Fund ceases to employ, for any reason, the Advisor, any successor thereto or any affiliate thereof as investment advisor.</w:t>
        <w:br/>
        <w:t xml:space="preserve">  17.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7</w:t>
        <w:br/>
        <w:t xml:space="preserve">  18.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 This Agreement does not, and is not included to, create any third-party beneficiary or otherwise confer any rights, privileges, claims or remedies upon any shareholder or other person other than the parties and their respective successors and permitted assigns.</w:t>
        <w:br/>
        <w:t xml:space="preserve">  19.       Counterparts. This Agreement may be executed in counterparts by the parties hereto, each of which shall constitute an original counterpart, and all of which, together, shall constitute one Agreement.</w:t>
        <w:br/>
        <w:t xml:space="preserve">  *** SIGNATURE PAGE FOLLOWS *** </w:t>
        <w:br/>
        <w:t xml:space="preserve"> 8</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 on behalf of each Fund  </w:t>
        <w:br/>
        <w:t xml:space="preserve">          By: /s/ Xxxxx Xxxxxxx    </w:t>
        <w:br/>
        <w:t xml:space="preserve">    Name: Xxxxx Xxxxxxx    </w:t>
        <w:br/>
        <w:t xml:space="preserve">    Title: Asst Treasurer  </w:t>
        <w:br/>
        <w:t xml:space="preserve">        THE ADVISOR: </w:t>
        <w:br/>
        <w:t xml:space="preserve">          XXXX &amp; XXXXXX, INC.  </w:t>
        <w:br/>
        <w:t xml:space="preserve">          By: </w:t>
        <w:br/>
        <w:t xml:space="preserve">/s/ Xxxxx X. Xxxxx  </w:t>
        <w:br/>
        <w:t xml:space="preserve">    Name: Xxxxx X. Xxxxx  </w:t>
        <w:br/>
        <w:t xml:space="preserve">    Title: Managing Director    </w:t>
        <w:br/>
        <w:t xml:space="preserve"> 9</w:t>
        <w:br/>
        <w:t xml:space="preserve">  Appendix A</w:t>
        <w:br/>
        <w:t xml:space="preserve">  Fund/Class Advisor Fee Effective Date</w:t>
        <w:br/>
        <w:t xml:space="preserve">Xxxx &amp; Xxxxxx Income Growth Fund 0.45% 07/01/2024       </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