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 485BPOS</w:t>
        <w:br/>
        <w:t>Exhibit 99(d)(xxiii)</w:t>
        <w:br/>
        <w:t xml:space="preserve">  INVESTMENT ADVISORY AGREEMENT</w:t>
        <w:br/>
        <w:t xml:space="preserve">  This Investment Advisory Agreement (the “Agreement”) is made as of July 2, 2024, by and between Tidal Trust 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1</w:t>
        <w:br/>
        <w:t xml:space="preserve">    2.            Selection of Sub-Adviser(s). The Adviser shall have the authority hereunder to select and retain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2</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3</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4</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or require a Sub-Adviser to pay, all expenses incurred by the Trust and each Fund (except for advisory fees and sub-advisory fees, as the case may be)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6</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it shall be the duty of the Board to request and evaluate, and the duty of the Adviser to furnish, such information as may be reasonably necessary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10</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[Signature Page Follows]</w:t>
        <w:br/>
        <w:t xml:space="preserve">  11</w:t>
        <w:br/>
        <w:t xml:space="preserve">    IN WITNESS WHEREOF, the parties hereto have this Agreement to be executed by their duly authorized officers on the day and year first written above.</w:t>
        <w:br/>
        <w:t xml:space="preserve">  TIDAL TRUST II</w:t>
        <w:br/>
        <w:t xml:space="preserve">  On behalf of each series listed on Schedule A attached hereto</w:t>
        <w:br/>
        <w:t xml:space="preserve">  By: /s/ Xxxx Xxxxxxx  </w:t>
        <w:br/>
        <w:t xml:space="preserve">Name:  Xxxx X. Xxxxxxx  </w:t>
        <w:br/>
        <w:t xml:space="preserve">Title: President  </w:t>
        <w:br/>
        <w:t xml:space="preserve">  TIDAL INVESTMENTS LLC</w:t>
        <w:br/>
        <w:t xml:space="preserve">  By: /s/ Xxx Xxxxxxx  </w:t>
        <w:br/>
        <w:t xml:space="preserve">Name:  Xxxxxx X. Xxxxxxx  </w:t>
        <w:br/>
        <w:t xml:space="preserve">Title: Chief of Staff  </w:t>
        <w:br/>
        <w:t xml:space="preserve">  12</w:t>
        <w:br/>
        <w:t xml:space="preserve">    Schedule A</w:t>
        <w:br/>
        <w:t>to the</w:t>
        <w:br/>
        <w:t>Investment Advisory Agreement</w:t>
        <w:br/>
        <w:t>by and between</w:t>
        <w:br/>
        <w:t>Tidal Trust II and</w:t>
        <w:br/>
        <w:t>Tidal Investments LLC</w:t>
        <w:br/>
        <w:t xml:space="preserve">  Fund Name Advisory Fee</w:t>
        <w:br/>
        <w:t>Octane All-Cap Value Energy ETF 0.60%</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