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Exhibit 99(d)(iii)</w:t>
        <w:br/>
        <w:t xml:space="preserve">  INVESTMENT ADVISORY AGREEMENT</w:t>
        <w:br/>
        <w:t xml:space="preserve">  This Investment Advisory Agreement (the “Agreement”) is made as of July 11, 2024, by and between Tidal Trust III, a Delaware statutory trust (the “Trust”), on behalf of each series of the Trust listed on Schedule A attached hereto, as may be amended from time to time (each, a “Fund” and collectively, the “Funds”), and Tidal Investments LLC (formerly, Toroso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 </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 </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 </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 </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 </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 </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7 </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 </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9 </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 </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11 </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 </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 Xxxxxxx  </w:t>
        <w:br/>
        <w:t xml:space="preserve">Name: Xxxx X. Xxxxxxx  </w:t>
        <w:br/>
        <w:t xml:space="preserve">Title: President  </w:t>
        <w:br/>
        <w:t xml:space="preserve">  TIDAL INVESTMENTS LLC</w:t>
        <w:br/>
        <w:t xml:space="preserve">  By: /s/ Xxxxxx X. Xxxxxxx  </w:t>
        <w:br/>
        <w:t xml:space="preserve">Name: Xxxxxx X. Xxxxxxx  </w:t>
        <w:br/>
        <w:t xml:space="preserve">Title: Chief of Staff  </w:t>
        <w:br/>
        <w:t xml:space="preserve">  13 </w:t>
        <w:br/>
        <w:t xml:space="preserve">    Schedule A</w:t>
        <w:br/>
        <w:t>to the</w:t>
        <w:br/>
        <w:t>Investment Advisory Agreement</w:t>
        <w:br/>
        <w:t>by and between</w:t>
        <w:br/>
        <w:t>Tidal Trust III</w:t>
        <w:br/>
        <w:t>and</w:t>
        <w:br/>
        <w:t>Tidal Investments LLC</w:t>
        <w:br/>
        <w:t xml:space="preserve">  Fund Name Advisory Fee</w:t>
        <w:br/>
        <w:t>Unity Wealth Partners Dynamic Capital Appreciation &amp; Options ETF 0.90%</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