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NEOS ETF Trust N-14</w:t>
        <w:br/>
        <w:t xml:space="preserve">  Exhibit 99.(6)(a)</w:t>
        <w:br/>
        <w:t xml:space="preserve">  INVESTMENT ADVISORY AGREEMENT</w:t>
        <w:br/>
        <w:t xml:space="preserve">  INVESTMENT ADVISORY AGREEMENT, dated May [ ], 2024, between NEOS ETF Trust (the “Trust”), a statutory trust organized under the laws of the State of Delaware, on behalf of the series of the Trust listed on Schedule A attached hereto (each, a “Fund” and collectively, the “Funds”), and NEOS Investment Management, LLC, a limited liability company organized under the laws of the State of Delaware (the “Adviser”).</w:t>
        <w:br/>
        <w:t xml:space="preserve">  WHEREAS, the Adviser is engaged in the business of rendering investment management services and is registered as an investment adviser under the Investment Advisers Act of 1940, as amended (the “Advisers Act”);</w:t>
        <w:br/>
        <w:t xml:space="preserve">  WHEREAS, the Trust is an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each of the Funds;</w:t>
        <w:br/>
        <w:t xml:space="preserve">  WHEREAS, the Trust desires to appoint the Adviser to serve as the investment adviser with respect to each of the Funds;</w:t>
        <w:br/>
        <w:t xml:space="preserve">  WHEREAS, the Trust may, from time to time, offer shares representing interests in one or more additional series (each, an “Additional Fund” and collectively, the “Additional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