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Collaborative Investment Series Trust 485BPOS</w:t>
        <w:br/>
        <w:t>Exhibit 99(d)(xiv)</w:t>
        <w:br/>
        <w:t xml:space="preserve">  INVESTMENT ADVISORY AGREEMENT</w:t>
        <w:br/>
        <w:t xml:space="preserve">  This Agreement (the “Agreement”), made as of June 3rd, 2024 between COLLABORATIVE INVESTMENT SERIES TRUST, a Delaware statutory trust (the “Trust”), and RAREVIEW CAPITAL LLC, a limited liability company organized and existing under the laws of the Delaware (the “Adviser”) located at 0000 Xxxxxxxx Xxxxx Xxxxx, Xxxxx 000, Xxx Xxxxx, XX 00000.</w:t>
        <w:br/>
        <w:t xml:space="preserve">  WITNESSETH:</w:t>
        <w:br/>
        <w:t xml:space="preserve">  WHEREAS, the Trust is an open-end management investment company and is registered as such under the Investment Company Act of 1940, as amended (the “Act”);</w:t>
        <w:br/>
        <w:t xml:space="preserve">  WHEREAS, the Trust is authorized to issue shares of beneficial interest in separate series, each having its own investment objective or objectives, policies and limitations;</w:t>
        <w:br/>
        <w:t xml:space="preserve">  WHEREAS, the Trust offers shares in the series named on Appendix A hereto (such series, together with all other series subsequently established by the Trust and made subject to this Agreement in accordance with Section 1.3, being herein referred to as the “Fund”);</w:t>
        <w:br/>
        <w:t xml:space="preserve">  WHEREAS, the Adviser is registered as an investment adviser under the Investment Advisers Act of 1940 (the Advisers Act”) and is engaged in the business of providing investment advisory services; and</w:t>
        <w:br/>
        <w:t xml:space="preserve">  WHEREAS, the Trust desires to retain the Adviser to render investment advice and services to the Trust, and the Adviser desires to furnish said advice and services, in each case pursuant to the terms and provisions of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