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EX-10.13 6 dex1013.htm LEASE AGREEMENT</w:t>
        <w:br/>
        <w:t>Exhibit 10.13</w:t>
        <w:br/>
        <w:t xml:space="preserve">      Tenant: ADS Alliance Data Systems, Inc.</w:t>
        <w:br/>
        <w:t xml:space="preserve">    Suite No.: 160</w:t>
        <w:br/>
        <w:t>LEASE AGREEMENT</w:t>
        <w:br/>
        <w:t>THIS LEASE AGREEMENT (“Lease Agreement”) is entered into as of the 19th day of May, 2010 (“Effective Date”), between BRANDYWINE OPERATING PARTNERSHIP, L.P., a Delaware limited partnership (“Landlord”), and ADS ALLIANCE DATA SYSTEMS, INC., a Delaware corporation, with offices at 00000 Xxxxxxxxx Xxxxxxx, Xxxxxx, XX 00000 (“Tenant”).</w:t>
        <w:br/>
        <w:t>In consideration of the mutual covenants stated below, and intending to be legally bound, the parties covenant and agree as follows:</w:t>
        <w:br/>
        <w:t>1. PREMISES.</w:t>
        <w:br/>
        <w:t>(a) Landlord leases to Tenant, and Tenant leases from Landlord, Suite No. 160, which the parties stipulate and agree is five thousand one hundred and ninety-eight (5,198) rentable square feet (“RSF”) shown on the space plan attached hereto as Exhibit “A” (“Premises”), located in the building and common areas (collectively, the “Building”) at Xxx Xxxxxxx Xxxxxxx, Xxxxxxxxxx, Xxxxxxxx, which Building is comprised of 104,761 leasable square feet as of the Effective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