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6.3</w:t>
        <w:br/>
        <w:t xml:space="preserve">  LICENSE AGREEMENT</w:t>
        <w:br/>
        <w:t xml:space="preserve">  This LICENSE AGREEMENT (this “Agreement”) is made and effective as of [________], 2023 (the “Effective Date”) between Arrived Holdings, Inc., a Delaware public benefit corporation (the “Licensor”), and Arrived SFR Genesis Fund, LLC, a Delaware limited liability company (the “Company”) (each a “party”, and collectively, the “parties”).</w:t>
        <w:br/>
        <w:t xml:space="preserve">  RECITALS</w:t>
        <w:br/>
        <w:t xml:space="preserve">  WHEREAS, to its knowledge Licensor is the owner of the trade name and related logo “ARRIVED” (the “Licensed Mark”).</w:t>
        <w:br/>
        <w:t xml:space="preserve">  WHEREAS, the Company intends to conduct an offering of its common shares pursuant to a qualified offering statement (the “Offering”), and following the Offering, the Company desires to use the Licensed Mark in connection with the operation of its business, and Licensor is willing to permit the Company to use the Licensed Mark, subject to the terms and conditions of this Agreement.</w:t>
        <w:br/>
        <w:t xml:space="preserve">  NOW, THEREFORE, in consideration of the mutual covenants and agreements set forth herein, and for other good and valuable consideration, the receipt and sufficiency of which are hereby acknowledged, the parties agree as follows:</w:t>
        <w:br/>
        <w:t xml:space="preserve">  1. LICENSE GRANT</w:t>
        <w:br/>
        <w:t xml:space="preserve">  1.1. License. Subject to the terms and conditions of this Agreement, Licensor hereby grants to the Company, and the Company hereby accepts from Licensor, a personal, non-exclusive, non-transferable, fully-paid-up, royalty-free right and license to use the Licensed Mark solely and exclusively as an element of the Company’s own company name and in connection with the business of the Company. Except as provided above, neither the Company nor any affiliate, owner, director, officer, employee, or agent thereof shall otherwise use the Licensed Mark or any derivative thereof without the prior express written consent of Licensor in its sole and absolute discretion. All rights not expressly granted to the Company hereunder shall remain the exclusive property of Licensor. The Company shall not have a right to sublicense the Licensed Mark except to a subsidiary and any sublicense shall terminate if such entity ceases to be a subsidiary of the Company. The Company shall be responsible for any such sublicensee’s compliance with the terms and conditions of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