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Fourth AMENDMENT TO THE LICENSE AGREEMENT BY AND BETWEEN</w:t>
        <w:br/>
        <w:t>XENCOR, INC. AND MorphoSys AG</w:t>
        <w:br/>
        <w:t>This fourth amendment ("Amendment") to the COLLABORATION AND LICENSE AGREEMENT dated June 27, 2010, as amended on March 23, 2012, on January 8, 2020 and on July 13, 2020 (collectively, the “Agreement”), by and between XENCOR, INC., a Delaware corporation with its principal offices at 000 X. Xxxxxxxx Xxxxxx, Xxxxx 000, Xxxxxxxx, Xxxxxxxxxx, XXX (“Xencor”), and MORPHOSYS AG, a German corporation with its principal offices at Xxxxxxxxxxxxxxxxx 0, 00000 Xxxxxxx, Xxxxxxx (“MorphoSys”) is effective as of the date of last signature to this Amendment. Capitalized terms not otherwise defined herein shall have the meanings ascribed in the Agreement.</w:t>
        <w:br/>
        <w:t>WHEREAS, Xxxxxx and XxxxxxXxx have agreed to amend the Agreement to remove certain exclusivity covenants of the Parties.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