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Execution Version</w:t>
        <w:br/>
        <w:t xml:space="preserve">  LOAN AGREEMENT</w:t>
        <w:br/>
        <w:t xml:space="preserve">  THIS LOAN AGREEMENT (as amended, restated, supplemented or otherwise modified from time to time, this “Agreement”) is entered into to be effective as of July 10, 2024 between Heramba Holdings, Inc., a Delaware corporation (the “Borrower”), and [     ] (the “Lender”). Each of the Borrower and the Lender are sometimes referred to herein collectively as the “Parties.”</w:t>
        <w:br/>
        <w:t xml:space="preserve">  WHEREAS, the Lender made a loan (the “Loan”) to the Borrower in the aggregate principal stated amount of $[     ] (the “Principal Amount”) on or about [     ]; and</w:t>
        <w:br/>
        <w:t xml:space="preserve">  WHEREAS, the Borrower and the Lender desire to enter into this Agreement to evidence the terms and conditions of the Loan.</w:t>
        <w:br/>
        <w:t xml:space="preserve">  NOW, THEREFORE, for good and valuable consideration, the receipt and sufficiency of which are hereby acknowledged by the Parties, the Parties agree to be bound as follows:</w:t>
        <w:br/>
        <w:t xml:space="preserve">  I. Definitions and Interpretations.</w:t>
        <w:br/>
        <w:t xml:space="preserve">  A. Definitions.</w:t>
        <w:br/>
        <w:t xml:space="preserve">  For purposes of this Agreement, unless otherwise indicated or defined herein, capitalized terms shall be defined as follows:</w:t>
        <w:br/>
        <w:t xml:space="preserve">  “Agreement” is defined in the introduction to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