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SECOND AMENDED AND RESTATED LOAN AND SECURITY AGREEMENT</w:t>
        <w:br/>
        <w:t>THIS SECOND AMENDED AND RESTATED LOAN AND SECURITY AGREEMENT (this “Agreement”) dated as of July 29, 2020 (the “Effective Date”) between SILICON VALLEY BANK, a California corporation (“Bank”), and GROVE COLLABORATIVE, INC., a Delaware corporation (“Borrower”), provides the terms on which Bank shall lend to Borrower and Borrower shall repay Bank. The parties agree as follows:</w:t>
        <w:br/>
        <w:t>RECITALS</w:t>
        <w:br/>
        <w:t>A. Bank and Borrower entered into that certain Amended and Restated Loan and Security Agreement dated as of April 2, 2018 (as the same has been amended, modified, supplemented, renewed, or otherwise modified, from to time, the “Prior Loan Agreement”). Pursuant to the Prior Loan Agreement, Bank made certain loans and other credit accommodations available to Borrower.</w:t>
        <w:br/>
        <w:t>B. Borrower has requested that Bank, and Bank has agreed to, replace, amend, and restate the Prior Loan Agreement in its entirety.</w:t>
        <w:br/>
        <w:t>1. ACCOUNTING AND OTHER TERMS</w:t>
        <w:br/>
        <w:t>Accounting terms not defined in this Agreement shall be construed following GAAP. Calculations and determinations under this Agreement must be made following GAAP, except, in each case applicable hereunder, with respect to unaudited financial statements, for the absence of footnotes and subject to year-end adjustments. Notwithstanding any terms in this Agreement to the contrary, for purposes of any financial covenant and other financial calculations in this Agreement (other than for purposes of updating the Borrowing Base) which are made in whole or in part based upon the Availability Amount as of the last day of a particular month, calculations relying on information from a Borrowing Base Statement shall be derived from the Borrowing Base Statement delivered within seven (7) days of month end pursuant to Section 6.2(a) (and not, for clarity, any more recent Borrowing Base Statement delivered after such period), and the actual delivery date of such Borrowing Base Statement shall be deemed to be the last day of the applicable month. Capitalized terms not otherwise defined in this Agreement shall have the meanings set forth in Section 13. All other terms contained in this Agreement, unless otherwise indicated, shall have the meaning provided by the Code to the extent such terms are defined therein.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