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7.3</w:t>
        <w:br/>
        <w:t xml:space="preserve">  LOAN AND SECURITY AGREEMENT</w:t>
        <w:br/>
        <w:t xml:space="preserve">  This Loan and Security Agreement (this “Agreement”) is entered into as of February 28, 2022 (the “Effective Date”), by and between iCoreConnect, Inc., a Nevada corporation (“Borrower”), and Element SaaS Finance (USA), LLC, a Delaware limited liability company (“Lender”).</w:t>
        <w:br/>
        <w:t xml:space="preserve">  Recitals</w:t>
        <w:br/>
        <w:t xml:space="preserve">  A. Lender desires to make available a loan (the “Loan”) to Borrower in the amount set forth in the Loan Schedule attached to the Note, to be used for the specific purposes set forth in this Agreement.</w:t>
        <w:br/>
        <w:t xml:space="preserve">  B. Lender has required as a condition precedent to the Loan, and Borrower has agreed to grant, the Security Interest described below.</w:t>
        <w:br/>
        <w:t xml:space="preserve">  C. The parties hereto desire to enter into this Agreement in order to memorialize, and provide the terms and conditions with respect to, the Loan.</w:t>
        <w:br/>
        <w:t xml:space="preserve">  AGREEMENTS</w:t>
        <w:br/>
        <w:t xml:space="preserve">  NOW, THEREFORE, for valuable consideration, the receipt and sufficiency of which are hereby acknowledged, Lender and Borrower hereby agree as follows:</w:t>
        <w:br/>
        <w:t xml:space="preserve">  ARTICLE 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