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AMENDED AND RESTATED LOAN AND SECURITY AGREEMENT</w:t>
        <w:br/>
        <w:t>THIS AMENDED AND RESTATED LOAN AND SECURITY AGREEMENT (this “Agreement”) dated as of May 28, 2020 (the “Effective Date”) by and between SILICON VALLEY BANK, a California corporation (“Bank”), and SENTINEL LABS, INC., a Delaware corporation (“Borrower”), provides the terms on which Bank shall lend to Borrower and Borrower shall repay Bank.</w:t>
        <w:br/>
        <w:t>A.    Bank and Borrower have previously entered into that certain Loan and Security Agreement dated as of May 8, 2018 by and between Borrower and Bank, as amended by that certain First Amendment to Loan and Security Agreement dated as of November 8, 2018 by and between Borrower and Bank (as amended, the “Prior Agreement”).</w:t>
        <w:br/>
        <w:t>B.    Borrower and Bank have agreed to amend and restate, and replace, the Prior Agreement in its entirety. Bank and Borrower hereby agree that the Prior Agreement is amended and restated in its entirety as follows:</w:t>
        <w:br/>
        <w:t>1    ACCOUNTING AND OTHER TERMS</w:t>
        <w:br/>
        <w:t>Accounting terms not defined in this Agreement shall be construed following GAAP, except with respect to unaudited financial statements (i) for non-compliance with FASB ASC Topic 718 and other non-cash items in the monthly reporting and (ii) for the absence of footnotes and subject to year-end audit adjustments; provided that if at any time any change in GAAP would affect the computation of any financial ratio or requirement set forth in any Loan Document, and either Borrower or Bank shall so request, Borrower and Bank shall negotiate in good faith to amend such ratio or requirement to preserve the original intent thereof in light of such change in GAAP; provided, further, that, until so amended, (a) such ratio or requirement shall continue to be computed in accordance with GAAP prior to such change therein and (b) Borrower shall provide Bank financial statements and other documents required under this Agreement or as reasonably requested hereunder setting forth a reconciliation between calculations of such ratio or requirement made before and after giving effect to such change in GAAP. Calculations and determinations must be made following GAAP; provided, that any obligations of any Person that are or would have been treated as operating leases for purposes of GAAP prior to the issuance by the Financial Accounting Standards Board on February 25, 2016 of an Accounting Standards Update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