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LOAN AND SECURITY AGREEMENT</w:t>
        <w:br/>
        <w:t>THIS LOAN AND SECURITY AGREEMENT (this “Agreement”) dated as of July 31, 2018 (the “Effective Date”) between SILICON VALLEY BANK, a California corporation (“Bank”), and BIOAGE LABS, INC., a Delaware corporation (“Borrower”), provides the terms on which Bank shall lend to Borrower and Borrower shall repay Bank. The parties agree as follows:</w:t>
        <w:br/>
        <w:t xml:space="preserve">  1</w:t>
        <w:br/>
        <w:t>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meanings provided by the Code to the extent such terms are defined therein.</w:t>
        <w:br/>
        <w:t xml:space="preserve">  2</w:t>
        <w:br/>
        <w:t>LOAN AND TERMS OF PAYMENT</w:t>
        <w:br/>
        <w:t>2.1 Promise to Pay. Borrower hereby unconditionally promises to pay Bank the outstanding principal amount of all Credit Extensions and accrued and unpaid interest thereon as and when due in accordance with this Agreement.</w:t>
        <w:br/>
        <w:t>2.1.1 Growth Capital Loan.</w:t>
        <w:br/>
        <w:t>(a) Availability. Subject to the terms and conditions of this Agreement, Xxxx agrees to make advances to Borrower (each a “” and collectively the “”), from time to time, prior to the Growth Capital Commitment Termination Date, in an aggregate amount not to exceed the Growth Capital Loan Commitment.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