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LOAN AND SECURITY AGREEMENT</w:t>
        <w:br/>
        <w:t>THIS AMENDED AND RESTATED LOAN AND SECURITY AGREEMENT (this “Agreement”) dated as of February 8, 2021 (the “Effective Date”) by and between SILICON VALLEY BANK, a California corporation (“Bank”), and SUMO LOGIC, INC., a Delaware corporation (“Borrower”), provides the terms on which Bank shall lend to Borrower and Borrower shall repay Bank and amends and supersedes, in its entirety, that certain Loan and Security Agreement by and between Bank and Borrower dated as of January 31, 2016 (as amended from time to time, the “Original Agreement”). The parties agree as follows:</w:t>
        <w:br/>
        <w:t>1    ACCOUNTING AND OTHER TERMS</w:t>
        <w:br/>
        <w:t>Accounting terms not defined in this Agreement shall be construed following GAAP, except with respect to unaudited financial statements (i) for non-compliance with FAS 123R and (ii) for the absence of footnotes and subject to year-end audit and purchase accounting adjustments; provided, however,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such covenant or requirement shall continue to be computed in accordance with GAAP prior to such change therein. Calculations and determinations must be made following GAAP. Notwithstanding anything in this Agreement, any obligations of a Person that are or would have been treated as operating leases for purposes of GAAP prior to the implementation of Financial Accounting Standards Board ASU No. 2016-02, Leases (Topic 842) and any interpretations thereof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