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g(3)</w:t>
        <w:br/>
        <w:t xml:space="preserve">  MANAGEMENT AGREEMENT</w:t>
        <w:br/>
        <w:t xml:space="preserve">  This MANAGEMENT AGREEMENT made as of this [ ] day of [ ], 2022 by and between XXXX XXXXXX FRHI FUNDING, LLC (the “Subsidiary”), a Delaware limited liability company and a wholly-owned subsidiary of LORD XXXXXX FLOATING RATE HIGH INCOME FUND, a Delaware statutory trust (the “Parent Fund”), and LORD, XXXXXX &amp; CO. LLC, a Delaware limited liability company (the “Investment Manager”).</w:t>
        <w:br/>
        <w:t xml:space="preserve">  WHEREAS, the Subsidiary desires to obtain the investment management services of the Investment Manager and the Investment Manager is willing to provide services of the nature desired upon the terms and conditions hereinafter provided.</w:t>
        <w:br/>
        <w:t xml:space="preserve">  NOW, THEREFORE, in consideration of the mutual covenants and of other good and valuable consideration, receipt of which is hereby acknowledged, it is agreed as follows:</w:t>
        <w:br/>
        <w:t xml:space="preserve">  1. Appointment. The Subsidiary hereby appoints the Investment Manager to provide investment advisory services to the Subsidiary for the period and on the terms set forth in this Agreement. The Investment Manager accepts such appointment and agrees during such period to render the services described in this Agreement for the compensation herein provided.</w:t>
        <w:br/>
        <w:t xml:space="preserve">  2. Authority and Duties of the Investment Manager. (a) The Investment Manager, to the extent permitted by applicable law, agrees to furnish continuously an investment program for the Subsidiary. The Investment Manager shall, at its expense, (i) maintain an adequate organization of competent portfolio managers and such other persons to perform the functions mentioned herein and (ii) provide all services, equipment and facilities necessary to perform its obligations under this Agreement, in each case subject to Section 6 below. The Investment Manager reserves the right, in its discretion, to purchase or otherwise obtain statistical information and services from other sources, including affiliated persons of the Investment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