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FUNDSa</w:t>
        <w:br/>
        <w:t xml:space="preserve">  on behalf of its separate series the</w:t>
        <w:br/>
        <w:t>MONTEAGLE ENHANCED EQUITY INCOME FUND</w:t>
        <w:br/>
        <w:t>_____________</w:t>
        <w:br/>
        <w:t>MANAGEMENT AGREEMENT</w:t>
        <w:br/>
        <w:t>This Management Agreement (the “Agreement”) made as of the 7th day of June, 2022, by and between Monteagle Funds a Delaware business trust with its principal office and place of business at 0000 Xxxxxxx Xxxxxx, Xxxxxxxxx, XX 00000 (the “Trust”), on behalf of its series the Monteagle Enhanced Equity Income Fund (the “Fund”) and Park Place Capital Corporation, a Tennessee corporation, with its principal office and place of business at 0000 Xxxx Xxxxx, Xxx 000, Xxxxxxxxxx,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w:t>
        <w:br/>
        <w:t>WHEREAS, the Trust desires that the Adviser perform investment advisory services for the Monteagle Enhanced Equity Income Fund, a series of the Trust, and the Adviser is willing to provide those services on the terms and conditions set forth in this Agreement; and</w:t>
        <w:br/>
        <w:t>WHEREAS, the Trust and the Adviser desire to enter into the arrangement described herein relating to certain expenses of the Trust;</w:t>
        <w:br/>
        <w:t>NOW THEREFORE, for and in consideration of the mutual covenants and agreements contained herein, the Trust and the Adviser hereby agree as follows:</w:t>
        <w:br/>
        <w:t>SECTION 1. Appointment; Delivery of Documents</w:t>
        <w:br/>
        <w:t>(a)       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       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 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w:t>
        <w:br/>
        <w:t xml:space="preserve">    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       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       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       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       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 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t xml:space="preserve">    (b)       The Adviser will report to the Board at each meeting thereof as requested by the Board all material changes in the Fund since the prior report, and will also keep the Board informed of important developments affecting the Trust, the Fund,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       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       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       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       The Adviser will cooperate with the Fund’s independent public accountants and shall take reasonable action to make all necessary information available to the accountants for the performance of the accountants’ duties.</w:t>
        <w:br/>
        <w:t>(g)       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 arrange for the provision of prices from parties who are not affiliated persons of the Adviser for each asset for which the Fund’s fund accountant does not obtain prices in the ordinary course of business.</w:t>
        <w:br/>
        <w:t>(h)       The Adviser shall authorize and permit any of its directors, officers and employees who may be elected as Trustees or officers of the Trust to serve in the capacities in which they are elected.</w:t>
        <w:br/>
        <w:t xml:space="preserve">    (i)       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       The Services shall not include and Adviser will not be responsible for any of the following:</w:t>
        <w:br/>
        <w:t>(1)       all brokers' commissions, issue and transfer taxes, and other costs chargeable to the Trust or the Fund(s) in connection with securities transactions to which the Trust or the Fund(s) is a party or in connection with securities owned by the Trust or the Fund(s);</w:t>
        <w:br/>
        <w:t>(2)       the interest on indebtedness, if any, incurred by the Trust or the Fund(s);</w:t>
        <w:br/>
        <w:t>(3)       the taxes, including franchise, income, issue, transfer, business license, and other corporate fees payable by the Trust or the Fund(s) to federal, state, county, city, or other governmental agents;</w:t>
        <w:br/>
        <w:t>(4)       the expenses, including fees and disbursements of counsel, in connection with litigation by or against the Trust or the Fund(s);</w:t>
        <w:br/>
        <w:t>(5)       any non-interested Trustee fee(s);</w:t>
        <w:br/>
        <w:t>(6)       Chief Compliance Officer and compliance related services for the Trust or Fund; and</w:t>
        <w:br/>
        <w:t>(7)       any other extraordinary expense of the Trust or Fund.</w:t>
        <w:br/>
        <w:t>(k)       Adviser assume and shall pay for maintaining the staff, personnel, space, equipment and facilities necessary to perform its obligations under this Agreement.</w:t>
        <w:br/>
        <w:t>SECTION 4. Compensation; Expenses</w:t>
        <w:br/>
        <w:t>(a)       In consideration of the foregoing, the Trust shall pay the Adviser, with respect to the Fund, a fee at an annualized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t>(b)       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t xml:space="preserve">      (c)       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 including, but not limited to, litigation expenses.</w:t>
        <w:br/>
        <w:t>SECTION 5. Standard of Care</w:t>
        <w:br/>
        <w:t>(a)       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       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       This Agreement shall become effective with respect to the Fund immediately upon approval by a majority of the outstanding voting securities of that Fund or approval by at least a majority of all independent Trustees.</w:t>
        <w:br/>
        <w:t>(b)       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 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       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t xml:space="preserve">      SECTION 8. Representations of Adviser</w:t>
        <w:br/>
        <w:t>The Adviser represents and warrants to the Trust that:</w:t>
        <w:br/>
        <w:t>(a)       It is either registered as an Investment Adviser under the Investment Adviser Act of 1940, as amended (“Adviser Act”) (and will continue to be so registered for so long as this Agreement remains in effect) or exempt from registration under the Adviser Act;</w:t>
        <w:br/>
        <w:t>(b)       It is not prohibited by the 1940 Act or the Adviser Act from performing the services contemplated by this Agreement;</w:t>
        <w:br/>
        <w:t>(c)       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       It will promptly notify the Trust of the occurrence of any event that would disqualify the Adviser from serving as an investment Adviser of an investment company pursuant to Section 9(a) of the 1940 Act or otherwise.</w:t>
        <w:br/>
        <w:t>SECTION 9.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10. Miscellaneous</w:t>
        <w:br/>
        <w:t>(a)       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t xml:space="preserve">  (b)       No amendment to this Agreement or the termination of this Agreement with respect to the Fund shall affect this Agreement as it pertains to any other Fund, nor shall any such amendment require the vote of the shareholders of any other Fund.</w:t>
        <w:br/>
        <w:t>(c)       No party to this Agreement shall be liable to any other party for consequential damages under any provision of this Agreement.</w:t>
        <w:br/>
        <w:t>(d)       This Agreement shall be governed by, and the provisions of this Agreement shall be construed and interpreted under and in accordance with, the laws of the State of Delaware.</w:t>
        <w:br/>
        <w:t>(e)       This Agreement constitutes the entire agreement between the parties hereto and supersedes any prior agreement with respect to the subject matter hereof, whether oral or written.</w:t>
        <w:br/>
        <w:t>(f)       This Agreement may be executed by the parties hereto in any number of counterparts, and all of the counterparts taken together shall be deemed to constitute one and the same instrument.</w:t>
        <w:br/>
        <w:t xml:space="preserve">    (g)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       Section headings in this Agreement are included for convenience only and are not to be used to construe or interpret this Agreement.</w:t>
        <w:br/>
        <w:t>(i)       Notices, requests, instructions and communications received by the parties at its respective principal places of business, or at such other address as a party may have designated in writing, shall be deemed to have been properly given.</w:t>
        <w:br/>
        <w:t>(j)       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t>(k)       No affiliated person, employee, agent, director, officer or portfolio manager of either Adviser shall be liable at law or in equity for the Adviser’s obligations under this Agreement.</w:t>
        <w:br/>
        <w:t>(l)       The terms “vote of a majority of the outstanding voting securities,” “interested person,” “affiliated person,” “control” and “assignment” shall have the meanings ascribed thereto in the 1940 Act.</w:t>
        <w:br/>
        <w:t>(m)       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t>IN WITNESS WHEREOF, the parties hereto have caused this Agreement to be duly executed to be effective as of the day and year first above written.</w:t>
        <w:br/>
        <w:t>TRUST                                                           ADVISER</w:t>
        <w:br/>
        <w:t>MONTEAGLE FUNDS                         PARK PLACE CAPITAL CORPORATION</w:t>
        <w:br/>
        <w:t>By: /s/ Xxxx X. Xxxxxxx                              By: /s/ Xxxxx Xxxxx</w:t>
        <w:br/>
        <w:t>Xxxx X. Xxxxxxx, President        Xxxxx Xxxxx, Senior Managing Director</w:t>
        <w:br/>
        <w:t>Dated: June 7, 2022                      Dated: June 7, 2022</w:t>
        <w:br/>
        <w:t xml:space="preserve">      MONTEAGLE FUNDS</w:t>
        <w:br/>
        <w:t>MANAGEMENT AGREEMENT</w:t>
        <w:br/>
        <w:t>APPENDIX A</w:t>
        <w:br/>
        <w:t>Adviser Fund Annual Fee Rate as a % of the Fund of the Trust – Net Assets of the Fund</w:t>
        <w:br/>
        <w:t>Park Place Capital Corporation Monteagle Enhanced Equity Income Fund 0.30%</w:t>
        <w:br/>
        <w:t xml:space="preserve">        TRUST                                                                ADVISER</w:t>
        <w:br/>
        <w:t>MONTEAGLE FUNDS                              PARK PLACE CAPITAL CORPORATION</w:t>
        <w:br/>
        <w:t xml:space="preserve">  By: /s/ Xxxx X. Xxxxxxx                                     By: /s/ Xxxxx Xxxxx</w:t>
        <w:br/>
        <w:t>Xxxx X. Xxxxxxx, President              Xxxxx Xxxxx, Senior Managing Director</w:t>
        <w:br/>
        <w:t>Dated: June 7, 2022                              Dated: June 7,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