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Century Variable Portfolios, Inc.</w:t>
        <w:br/>
        <w:br/>
        <w:t>AMENDMENT NO. 5 TO MANAGEMENT AGREEMENT</w:t>
        <w:br/>
        <w:t>THIS AMENDMENT NO. 5 TO MANAGEMENT AGREEMENT (“Agreement”) is effective as of the 1st day of August 2021, by and between AMERICAN CENTURY VARIABLE PORTFOLIOS, INC., a Maryland corporation (hereinafter called the “Company”), and AMERICAN CENTURY INVESTMENT MANAGEMENT, INC., a Delaware corporation (hereinafter called the “Investment Manager”).</w:t>
        <w:br/>
        <w:br/>
        <w:t>WHEREAS, the Corporation and the Investment Manager are parties to a certain Management Agreement effective as of July 16, 2010, and amended effective as of March 31, 2014, May 1, 2016, September 22, 2017, and September 25, 2020 (“Agreement”); and</w:t>
        <w:br/>
        <w:br/>
        <w:t>WHEREAS, the parties hereto desire to enter into this Amendment to reflect fee schedule changes for the series titled VP International Fund, VP Large Company Value Fund, VP Mid Cap Value Fund, VP Ultra Fund, and VP Value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