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(d)(16)(iv)</w:t>
        <w:br/>
        <w:t xml:space="preserve">  Amendment to Exhibit A of the Management Agreement</w:t>
        <w:br/>
        <w:t>Between</w:t>
        <w:br/>
        <w:t>Simplify Exchange Traded Funds</w:t>
        <w:br/>
        <w:t>and</w:t>
        <w:br/>
        <w:t>Simplify Asset Management Inc.</w:t>
        <w:br/>
        <w:t xml:space="preserve">  This amendment (the “Amendment”) to the Management Agreement (the “Agreement”) by and between Simplify Exchange Traded Funds (the “Trust”) and Simplify Asset Management Inc. (“SAMI”) is entered into with effect as of July 8, 2024 (the “Effective Date”).</w:t>
        <w:br/>
        <w:t xml:space="preserve">  WHEREAS, the Trust and XXXX (the “Parties”) desire to amend Exhibit A of the Agreement to reflect the addition of funds; and</w:t>
        <w:br/>
        <w:t xml:space="preserve">  NOW THEREFORE, for good and valuable consideration, the receipt and sufficiency of which are hereby acknowledged, the Parties hereby agree as follows:</w:t>
        <w:br/>
        <w:t xml:space="preserve">  1. Capitalized terms not otherwise defined herein shall have the meanings set forth in Agreement.</w:t>
        <w:br/>
        <w:t xml:space="preserve">  2. Exhibit A of the Agreement is hereby deleted in its entirety and replaced by the Exhibit A attached hereto.</w:t>
        <w:br/>
        <w:t xml:space="preserve">  3. Except as expressly amended hereby, all of the provisions of the Agreement shall remain unamended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