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(d)(4)</w:t>
        <w:br/>
        <w:t xml:space="preserve">  MANAGEMENT AGREEMENT</w:t>
        <w:br/>
        <w:t xml:space="preserve">  TO: Simplify Asset Management Inc.</w:t>
        <w:br/>
        <w:t xml:space="preserve">  00 X 00xx Xx,</w:t>
        <w:br/>
        <w:t xml:space="preserve">  Xxx Xxxx, XX 00000</w:t>
        <w:br/>
        <w:t xml:space="preserve">  Dear Sirs:</w:t>
        <w:br/>
        <w:t xml:space="preserve">  Simplify Exchange Traded Funds (the “Trust”) herewith confirms our agreement with you.</w:t>
        <w:br/>
        <w:t xml:space="preserve">  The Trust has been organized to engage in the business of an open-end management investment company. The Trust currently offers several series of shares to investors.</w:t>
        <w:br/>
        <w:t xml:space="preserve">  You have been selected to act as the sole investment manager of the series of the Trust set forth on the Exhibits to this Agreement (each, a “Fund,” collectively, the “Funds”) and to provide certain other services, as more fully set forth below, and you are willing to act as such investment manager and to perform such services under the terms and conditions hereinafter set forth. Accordingly, the Trust agrees with you as follows effective upon the date of the execution of this Agreement.</w:t>
        <w:br/>
        <w:t xml:space="preserve">  1. ADVISORY SERVICES</w:t>
        <w:br/>
        <w:t xml:space="preserve">  Subject to the supervision of the Board of Trustees (the “Board”) of the Trust, you will provide or arrange to be provided to each Fund such investment advice as you in your discretion deem advisable and will furnish or arrange to be furnished a continuous investment program for each Fund consistent with the Fund’s investment objective and policies. You will determine or arrange for others to determine the securities to be purchased for each Fund, the portfolio securities to be held or sold by each Fund and the portion of each Fund’s assets to be held uninvested, subject always to the Fund’s investment objective, policies and restrictions, as each of the same shall be from time to time in effect, and subject further to such policies and instructions as the Board may from time to time establish. You will furnish such reports, evaluations, information or analyses to the Trust as the Board may request from time to time or as you may deem to be desirable. You also will advise and assist the officers of the Trust in taking such steps as are necessary or appropriate to carry out the decisions of the Board and the appropriate committees of the Board regarding the conduct of the business of the Trust. You may delegate any of the responsibilities, rights or duties described above to one or more persons, provided you notify the Trust and agree that such delegation does not relieve you from any liability hereunder.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