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w:t>
        <w:br/>
        <w:t xml:space="preserve">  MANAGEMENT AGREEMENT</w:t>
        <w:br/>
        <w:t xml:space="preserve">  THIS MANAGEMENT AGREEMENT, dated effective as of January 25, 2021 (the “Effective Date”), between My Income Property, LLC, a Delaware series limited liability company (the “Company”), and MIP Manager, LLC, a Delaware limited liability company (the “Manager”).</w:t>
        <w:br/>
        <w:t xml:space="preserve">  WHEREAS, the Company has sought to engage the Manager to: (i) identify, structure and originate real estate opportunities for the Company, (ii) perform property and asset management services, and (iii) provide such other services related thereto for the Company, including for the benefit of the members thereof (the “Members”); and the Manager desires to render such services to the Company in consideration of Management Fees and other compensation specified herein;</w:t>
        <w:br/>
        <w:t xml:space="preserve">  WHEREAS, Company desires to have Manager provide, manage and administer Company’s operations and to license from Manager the right to use Manager’s Platform (as defined below); and</w:t>
        <w:br/>
        <w:t xml:space="preserve">  WHEREAS, the engagement of the Manager by the Company is authorized by the Limited Liability Company Operating Agreement of the Company (as may be amended and/or restated from time to time, the “Company Agreement”).</w:t>
        <w:br/>
        <w:t xml:space="preserve">  NOW, THEREFORE, in consideration of the mutual agreements set forth herein, the parties hereto agree as follows:</w:t>
        <w:br/>
        <w:t xml:space="preserve">  1.             Defined Terms. Capitalized terms not otherwise defined in this Management Agreement, unless the context otherwise requires, have the meanings specified in the Company Agreement.</w:t>
        <w:br/>
        <w:t xml:space="preserve">  2.             Provision of Services by the Manager.</w:t>
        <w:br/>
        <w:t xml:space="preserve">  (a)           The Manager hereby undertakes to present to the Company potential real property and real estate related investment opportunities and support the Company’s investment policies and objectives.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