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AMENDED AND RESTATED MANAGEMENT AGREEMENT</w:t>
        <w:br/>
        <w:t>THIS AMENDED AND RESTATED MANAGEMENT AGREEMENT (the “Agreement”) is made and executed the 1st day of December, 2019, by and between Grosvenor Registered Multi-Strategy Fund (TI 1), LLC, a Delaware limited liability company (the “Company”), and Grosvenor Capital Management, L.P., an Illinois limited partnership (“Grosvenor”).</w:t>
        <w:br/>
        <w:t>WHEREAS, the parties to this Agreement were parties to the Management Agreement dated as of April 1, 2011 (the “Original Agreement”); and</w:t>
        <w:br/>
        <w:t>WHEREAS, the parties agree to amend and restate the Original Agreement to decrease the management fee payable to Grosvenor from the Company; and</w:t>
        <w:br/>
        <w:t>WHEREAS, the Company is registered with the Securities and Exchange Commission (the “Commission”) under the Investment Company Act of 1940, as amended (the “1940 Act”), as a closed-end, diversified management investment company, and Grosvenor is an investment adviser registered as such with the Commission under the Investment Advisers Act of 1940; and</w:t>
        <w:br/>
        <w:t>WHEREAS, the Company desires to retain Grosvenor to provide various management and administrative services to the Company pursuant to this Agreement; and</w:t>
        <w:br/>
        <w:t>WHEREAS, Grosvenor desires to be retained to provide various management and administrative services to the Company pursuant to this Agreement;</w:t>
        <w:br/>
        <w:t>NOW, THEREFORE, in consideration of the terms and conditions hereinafter set forth, it is agreed, by and between the parties, as follows: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