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EXECUTION VERSION</w:t>
        <w:br/>
        <w:t>MEMORANDUM OF UNDERSTANDING</w:t>
        <w:br/>
        <w:t>This Memorandum of Understanding (“Memorandum”) is entered into as of July</w:t>
        <w:br/>
        <w:t>30, 2015, by and among plaintiffs David Ormsby, Ruth Thomas, Casey Boyer, Jeremy Means,</w:t>
        <w:br/>
        <w:t>Nicholas Ronald Ledonne, and Harold Ginsberg (collectively “Plaintiffs”) and Keith Kennedy,</w:t>
        <w:br/>
        <w:t>Richard W. Neu, Kenneth J. O’Keefe, Kim D. Kelly, Gavin Saitowitz (collectively, the</w:t>
        <w:br/>
        <w:t>“Individual Defendants”), MCG Capital Corporation (“MCGC” or the “Company”),</w:t>
        <w:br/>
        <w:t>PennantPark Floating Rate Capital, Ltd. (“PennantPark”), PFLT Panama, LLC (“Merger Sub</w:t>
        <w:br/>
        <w:t>One”), PFLT Funding II, LLC (“Merger Sub Two”), and PennantPark Investment Advisers, LLC</w:t>
        <w:br/>
        <w:t>(“Investment Adviser”) (collectively, and including the Individual Defendants, “Defendants,”</w:t>
        <w:br/>
        <w:t>and each a “Defendant”). Plaintiffs and Defendants are collectively referred to herein as the</w:t>
        <w:br/>
        <w:t>“Parties.” The Parties are parties to a putative consolidated class action lawsuit currently</w:t>
        <w:br/>
        <w:t>pending in the Court of Chancery of the State of Delaware (the “Court”) captioned In re MCG</w:t>
        <w:br/>
        <w:t>Capital Corp. Stockholder Litigation, Cons. C.A. 10992-VCN (the “Action”). Plaintiffs, by and</w:t>
        <w:br/>
        <w:t>through their attorneys, have reached an agreement in principle with the Defendants providing</w:t>
        <w:br/>
        <w:t>for the settlement of the Action (the “Settlement”) on the terms and subject to the conditions set</w:t>
        <w:br/>
        <w:t>forth in this Memorandum.</w:t>
        <w:br/>
        <w:t>WHEREAS, on April 28, 2015, MCGC and PennantPark entered into a definitive</w:t>
        <w:br/>
        <w:t>Agreement and Plan of Merger (the “Merger Agreement”), pursuant to which Merger Sub One</w:t>
        <w:br/>
        <w:t>will merge with and into MCGC, with MCGC continuing as the surviving corporation and as a</w:t>
        <w:br/>
        <w:t>wholly owned subsidiary of PennantPark, followed immediately thereafter by the merger of</w:t>
        <w:br/>
        <w:t>MCGC with and into Merger Sub Two, in a transaction in which MCGC stockholders will</w:t>
        <w:br/>
        <w:t>receive a combination of cash and PennantPark stock valued at approximately $4.75 per MCGC</w:t>
        <w:br/>
        <w:t>share (the “Merger”);</w:t>
        <w:br/>
        <w:t>WHEREAS, between May 6 and 18, 2015, Plaintiffs filed six actions1 challenging</w:t>
        <w:br/>
        <w:t>the Merger. These complaints alleged, among other things, that the Individual Defendants</w:t>
        <w:br/>
        <w:t>breached their fiduciary duties to MCGC’s stockholders by entering into the Merger Agreement,</w:t>
        <w:br/>
        <w:t>approving the Merger, and allegedly failing to give adequate consideration to a competing</w:t>
        <w:br/>
        <w:t>proposal for an alternative transaction with HC2 Holdings, Inc. (“HC2”), and that PennantPark,</w:t>
        <w:br/>
        <w:t>Merger Sub One, Merger Sub Two and Investment Adviser aided and abetted such breaches;</w:t>
        <w:br/>
        <w:t>WHEREAS, on May 18, 2015, PennantPark filed with the United States</w:t>
        <w:br/>
        <w:t>Securities and Exchange Commission (the “SEC”) a Registration Statement on Form N-14 8C</w:t>
        <w:br/>
        <w:t>(the “Initial N-14”) including a Joint Proxy Statement of MCGC and PennantPark and a</w:t>
        <w:br/>
        <w:t>Prospectus of PennantPark (the “Joint Proxy Statement/Prospectus”), which contained, among</w:t>
        <w:br/>
        <w:t>other things, various disclosures concerning the Merger;</w:t>
        <w:br/>
        <w:t>WHEREAS, on June 3, 2015, the Court entered an Order of Consolidation and</w:t>
        <w:br/>
        <w:t>Appointment of Co-Lead Counsel that, among other things, consolidated the six actions;</w:t>
        <w:br/>
        <w:t>WHEREAS, on June 10, 2015, Plaintiff Ruth Thomas (“Named Plaintiff”) filed a</w:t>
        <w:br/>
        <w:t>Verified Consolidated Amended Class Action Complaint (the “Complaint”) that, among other</w:t>
        <w:br/>
        <w:t>things, added allegations that the Initial N-14 contained material misstatements and omissions;</w:t>
        <w:br/>
        <w:t>WHEREAS, on June 16, 2015, PennantPark filed with the SEC a Registration</w:t>
        <w:br/>
        <w:t>Statement on Form N-14 8C/A (the “Amended N-14”);</w:t>
        <w:br/>
        <w:t>WHEREAS, on June 25, 2015, the SEC declared the Amended N-14 effective;</w:t>
        <w:br/>
        <w:t>1 This six actions are David Ormsby v. Keith Kennedy, et al., C.A. No. 10992-VCN (filed</w:t>
        <w:br/>
        <w:t>May 6, 2015); Ruth Thomas v. MCG Capital Corp., et al., C.A. No. 10993-VCN (filed May 6,</w:t>
        <w:br/>
        <w:t>2015); Casey Boyer v. MCG Capital Corp., et al., C.A. No. 11002-VCN (filed May 8, 2015);</w:t>
        <w:br/>
        <w:t>Jeremy Means v. MCG Capital Corp., C.A. No. 11009-VCN (filed May 11, 2015); Nicholas</w:t>
        <w:br/>
        <w:t>Ronald Ledonne v. MCG Capital Corp., et al., C.A. No. 11019-VCN (filed May 13, 2015); and</w:t>
        <w:br/>
        <w:t>Harold Ginsberg v. Keith Kennedy, et al., C.A. No. 11036-VCN (filed May 18, 2015).</w:t>
        <w:br/>
        <w:t>- 2 -</w:t>
        <w:br/>
        <w:t>WHEREAS, on June 29, 2015, the Court entered a Stipulation and Order for the</w:t>
        <w:br/>
        <w:t>Production and Exchange of Confidential Information;</w:t>
        <w:br/>
        <w:t>WHEREAS, on July 1, 2015, PennantPark filed with the SEC a Form 429</w:t>
        <w:br/>
        <w:t>including the Joint Proxy Statement/Prospectus;</w:t>
        <w:br/>
        <w:t>WHEREAS, on July 2, 2015, MCGC filed with the SEC a Definitive Proxy</w:t>
        <w:br/>
        <w:t>Statement on Schedule 14A (the “Definitive Proxy Statement”), which contained, among other</w:t>
        <w:br/>
        <w:t>things, various disclosures about the Merger;</w:t>
        <w:br/>
        <w:t>WHEREAS, counsel for Plaintiffs and Defendants consensually negotiated the</w:t>
        <w:br/>
        <w:t>scope of expedited document review and production by Defendants in advance of a possible</w:t>
        <w:br/>
        <w:t>hearing on a motion for preliminary injunction;</w:t>
        <w:br/>
        <w:t>WHEREAS, Defendants produced over 24,000 pages of documents to Plaintiffs</w:t>
        <w:br/>
        <w:t>on an expedited basis;</w:t>
        <w:br/>
        <w:t>WHEREAS, counsel for the Parties engaged in arms’-length discussions and</w:t>
        <w:br/>
        <w:t>negotiations concerning the potential resolution of the Action, including the negotiation of</w:t>
        <w:br/>
        <w:t>various supplemental disclosures to MCGC stockholders that Plaintiffs and their counsel</w:t>
        <w:br/>
        <w:t>requested be made;</w:t>
        <w:br/>
        <w:t>WHEREAS, the Parties to the Action have reached an agreement in principle to</w:t>
        <w:br/>
        <w:t>settle the Action on the terms and subject to the conditions set forth herein (the “Settlement”);</w:t>
        <w:br/>
        <w:t>WHEREAS, Defendants, solely to avoid the costs, disruption, and distraction of</w:t>
        <w:br/>
        <w:t>further litigation, and without admitting the validity of any allegations asserted by Plaintiffs, or</w:t>
        <w:br/>
        <w:t>any liability with respect thereto, have concluded that it is desirable that the claims asserted in</w:t>
        <w:br/>
        <w:t>the Action against them be settled and dismissed on the terms reflected in this Memorandum;</w:t>
        <w:br/>
        <w:t>- 3 -</w:t>
        <w:br/>
        <w:t>WHEREAS, all Defendants have denied, and continue to deny, that they have</w:t>
        <w:br/>
        <w:t>committed or aided and abetted in the commission of any violation of law of any kind or</w:t>
        <w:br/>
        <w:t>engaged in any of the wrongful acts alleged in the Action, and expressly maintain that they have</w:t>
        <w:br/>
        <w:t>diligently and scrupulously complied with any and all legal duties;</w:t>
        <w:br/>
        <w:t>WHEREAS, Plaintiffs represent that they brought their claims in good faith and</w:t>
        <w:br/>
        <w:t>continue to believe that their claims have legal merit;</w:t>
        <w:br/>
        <w:t>WHEREAS, subject to the completion of certain Additional Discovery (defined</w:t>
        <w:br/>
        <w:t>below), Plaintiffs have investigated and are continuing to investigate all claims that could have</w:t>
        <w:br/>
        <w:t>been brought in the Action;</w:t>
        <w:br/>
        <w:t>WHEREAS, Plaintiffs’ entry into this Memorandum is not an admission as to the</w:t>
        <w:br/>
        <w:t>lack of merit of any of the claims asserted in the Action;</w:t>
        <w:br/>
        <w:t>NOW, THEREFORE, IT IS HEREBY STIPULATED AND AGREED, by and</w:t>
        <w:br/>
        <w:t>among the parties hereto:</w:t>
        <w:br/>
        <w:t>1. Stipulation of Settlement. As soon as practicable after the execution of</w:t>
        <w:br/>
        <w:t>this Memorandum and the satisfactory completion of Additional Discovery (defined below), the</w:t>
        <w:br/>
        <w:t>Parties agree to seek to negotiate in good faith and execute an appropriate Stipulation of</w:t>
        <w:br/>
        <w:t>Settlement (the “Stipulation”) and will present to the Court the Stipulation and such other</w:t>
        <w:br/>
        <w:t>documentation as may be necessary to obtain the Court’s Final Approval of the Settlement.</w:t>
        <w:br/>
        <w:t>2. Consideration from Defendants. In consideration for the full and final</w:t>
        <w:br/>
        <w:t>settlement and release of all Released Claims (as defined below) by Plaintiffs and the Class (as</w:t>
        <w:br/>
        <w:t>defined below) and the dismissal with prejudice of the Action, Defendants agree to make certain</w:t>
        <w:br/>
        <w:t>supplemental disclosures to the MCGC stockholders through a Current Report on Form 8-K to</w:t>
        <w:br/>
        <w:t>be filed with the SEC, which disclosures shall contain substantially similar information to that</w:t>
        <w:br/>
        <w:t>- 4 -</w:t>
        <w:br/>
        <w:t>reflected in Exhibit A hereto (the “Supplemental Disclosures”). Before executing this</w:t>
        <w:br/>
        <w:t>Memorandum, Named Plaintiff and her counsel were provided with and reviewed the</w:t>
        <w:br/>
        <w:t>Supplemental Disclosures, and counsel for all other Plaintiffs were provided with the</w:t>
        <w:br/>
        <w:t>Supplemental Disclosures. Without admitting any wrongdoing or that any of the Supplemental</w:t>
        <w:br/>
        <w:t>Disclosures were material or required to be made, Defendants acknowledge that the pendency of,</w:t>
        <w:br/>
        <w:t>and the efforts to settle, the Action were the sole cause underlying Defendants’ decision to make</w:t>
        <w:br/>
        <w:t>the Supplemental Disclosures. Plaintiffs and their counsel believe that, with the addition of the</w:t>
        <w:br/>
        <w:t>Supplemental Disclosures, the Joint Proxy Statement/Prospectus and Definitive Proxy Statement</w:t>
        <w:br/>
        <w:t>are materially complete and not misleading.</w:t>
        <w:br/>
        <w:t>3. Consideration from Plaintiffs. In consideration of the benefits provided to</w:t>
        <w:br/>
        <w:t>Plaintiffs and the Class (as defined below) in paragraph 2, Plaintiffs agree to dismiss with</w:t>
        <w:br/>
        <w:t>prejudice all claims pending in the above-captioned action against Defendants, and to provide</w:t>
        <w:br/>
        <w:t>Defendants with a release of known or unknown claims as described herein, following the</w:t>
        <w:br/>
        <w:t>Court’s final approval (“Final Approval”) of the Settlement. The term “Final Approval” of the</w:t>
        <w:br/>
        <w:t>Settlement means that the Court has entered a final order and judgment certifying the Class,</w:t>
        <w:br/>
        <w:t>approving the Settlement, dismissing the Action with prejudice and with each Party to bear its</w:t>
        <w:br/>
        <w:t>own costs (except those costs set forth in paragraph 9 below), and providing for the releases set</w:t>
        <w:br/>
        <w:t>forth in paragraph 6 below, and that such final order and judgment is final and no longer subject</w:t>
        <w:br/>
        <w:t>to further appeal or review, whether by affirmance on or exhaustion of any possible appeal or</w:t>
        <w:br/>
        <w:t>review, lapse of time, or otherwise; provided, however, and notwithstanding any provision to the</w:t>
        <w:br/>
        <w:t>contrary in this Memorandum, Final Approval shall not include (and the Settlement is expressly</w:t>
        <w:br/>
        <w:t>not conditioned on) the award of attorneys’ fees and the reimbursement of expenses as provided</w:t>
        <w:br/>
        <w:t>in paragraph 9 below, and any appeal related thereto.</w:t>
        <w:br/>
        <w:t>- 5 -</w:t>
        <w:br/>
        <w:t>4. Additional Discovery. Defendants will provide to Plaintiffs’ counsel, and</w:t>
        <w:br/>
        <w:t>the Settlement will be specifically contingent upon, such final document discovery (if any) and</w:t>
        <w:br/>
        <w:t>additional deposition discovery (the “Additional Discovery”) as the Parties shall agree is</w:t>
        <w:br/>
        <w:t>reasonably necessary for the Plaintiffs to confirm the fairness, reasonableness, and adequacy of</w:t>
        <w:br/>
        <w:t>the Settlement and enter a Stipulation of Settlement. The Parties will use their commercially</w:t>
        <w:br/>
        <w:t>reasonable best efforts to complete such discovery promptly. The Parties expect that Additional</w:t>
        <w:br/>
        <w:t>Discovery will include the depositions of Defendants Kennedy and Neu and a representative of</w:t>
        <w:br/>
        <w:t>Morgan Stanley knowledgeable about the Merger, and will use their reasonable best efforts to</w:t>
        <w:br/>
        <w:t>ensure that such depositions take place.</w:t>
        <w:br/>
        <w:t>5. Stay Pending Final Approval. Pending the negotiation, execution, and</w:t>
        <w:br/>
        <w:t>Final Approval of the Stipulation, all proceedings in the Action, except for those related to the</w:t>
        <w:br/>
        <w:t>Settlement, shall be stayed. Plaintiffs agree not to initiate any other proceedings other than those</w:t>
        <w:br/>
        <w:t>incident to the Settlement itself. The Parties also agree to use their best efforts to prevent, stay,</w:t>
        <w:br/>
        <w:t>seek dismissal of, or oppose entry of any interim or final relief in favor of any member of the</w:t>
        <w:br/>
        <w:t>Class in any other litigation against any Party that asserts any Released Claim (as defined</w:t>
        <w:br/>
        <w:t>below).</w:t>
        <w:br/>
        <w:t>6. Terms of the Stipulation. The Stipulation shall provide, among other</w:t>
        <w:br/>
        <w:t>things:</w:t>
        <w:br/>
        <w:t>(a) for the certification, pursuant to Court of Chancery Rules 23(a),</w:t>
        <w:br/>
        <w:t>23(b)(1), and 23(b)(2), of a non-opt-out class in the Action that includes any and all record</w:t>
        <w:br/>
        <w:t>holders and beneficial owners of common stock of MCGC who held or owned such stock at any</w:t>
        <w:br/>
        <w:t>time during the period beginning on and including April 28, 2015, through and including the</w:t>
        <w:br/>
        <w:t>date of consummation of the Merger (the “Class Period”), including any and all of their</w:t>
        <w:br/>
        <w:t>- 6 -</w:t>
        <w:br/>
        <w:t>respective successors-in-interest, successors, predecessors-in-interest, predecessors,</w:t>
        <w:br/>
        <w:t>representatives, trustees, executors, administrators, estates, heirs, assigns and transferees,</w:t>
        <w:br/>
        <w:t>immediate and remote, and any person or entity acting for or on behalf of, or claiming under,</w:t>
        <w:br/>
        <w:t>any of them, and each of them, together with their predecessors-in-interest, predecessors,</w:t>
        <w:br/>
        <w:t>successors-in-interest, successors, and assigns (the “Class”). Excluded from the Class are</w:t>
        <w:br/>
        <w:t>Defendants and their immediate family members, any entity in which any Defendant has a</w:t>
        <w:br/>
        <w:t>controlling interest, and any successors-in-interest thereto. Certification of the Class is for</w:t>
        <w:br/>
        <w:t>settlement purposes only and is dependent on Final Approval;</w:t>
        <w:br/>
        <w:t>(b) for the full and complete discharge, dismissal with prejudice on the</w:t>
        <w:br/>
        <w:t>merits, and settlement and release of, any and all manner of claims, demands, rights, liabilities,</w:t>
        <w:br/>
        <w:t>losses, obligations, duties, costs, debts, expenses, interest, penalties, sanctions, fees, attorneys’</w:t>
        <w:br/>
        <w:t>fees, actions, potential actions, causes of action, suits, agreements, judgments, defenses,</w:t>
        <w:br/>
        <w:t>counterclaims, offsets, decrees, matters, issues and controversies of any kind, nature or</w:t>
        <w:br/>
        <w:t>description whatsoever, whether known or unknown, disclosed or undisclosed, accrued or</w:t>
        <w:br/>
        <w:t>unaccrued, apparent or not apparent, foreseen or unforeseen, matured or not matured, suspected</w:t>
        <w:br/>
        <w:t>or unsuspected, liquidated or not liquidated, fixed or contingent, including unknown claims, that</w:t>
        <w:br/>
        <w:t>any of the Plaintiffs or any or all other members of the Class ever had, now have, or may have,</w:t>
        <w:br/>
        <w:t>whether direct, derivative, individual, class, representative, legal, equitable or of any other type,</w:t>
        <w:br/>
        <w:t>or in any other capacity, based on his, her, or its ownership of MCGC stock during the Class</w:t>
        <w:br/>
        <w:t>Period, against any of the Released Parties (defined below), based on state law (including,</w:t>
        <w:br/>
        <w:t>without limitation, all claims relating to fiduciary duties and disclosure), which, now or</w:t>
        <w:br/>
        <w:t>hereafter, are based upon, arise out of, relate in any way to, or involve, directly or indirectly, any</w:t>
        <w:br/>
        <w:t>of the actions, transactions, occurrences, statements, representations, misrepresentations,</w:t>
        <w:br/>
        <w:t>- 7 -</w:t>
        <w:br/>
        <w:t>omissions, allegations, facts, practices, events, claims or any other matters, things or causes</w:t>
        <w:br/>
        <w:t>whatsoever, or any series thereof, that were, could have been, or in the future can or might be</w:t>
        <w:br/>
        <w:t>alleged, asserted, set forth, claimed, embraced, involved, or referred to in, or related to, directly</w:t>
        <w:br/>
        <w:t>or indirectly, the Action, or the subject matter thereof in any court, tribunal, forum or</w:t>
        <w:br/>
        <w:t>proceeding, including, without limitation, any and all claims which are based upon, arise out of,</w:t>
        <w:br/>
        <w:t>relate in any way to, or involve, directly or indirectly, (i) the Merger or the Merger Agreement;</w:t>
        <w:br/>
        <w:t>(ii) any deliberations or negotiations in connection with the Merger or the Merger Agreement,</w:t>
        <w:br/>
        <w:t>including the process of deliberation or negotiation by Defendants, and any of their respective</w:t>
        <w:br/>
        <w:t>officers, directors, principals, partners or advisors; (iii) the consideration to be received by Class</w:t>
        <w:br/>
        <w:t>members in connection with the Merger; (iv) the consideration to be received by any other</w:t>
        <w:br/>
        <w:t>person in connection with the Merger; (v) HC2’s or any other potential transaction</w:t>
        <w:br/>
        <w:t>counterparty’s alternative proposals to the Merger; (vi) the Initial N-14, Amended N-14, Joint</w:t>
        <w:br/>
        <w:t>Proxy Statement/Prospectus, Definitive Proxy Statement, or any other disclosures made</w:t>
        <w:br/>
        <w:t>available or filed relating to the Merger; (vii) the obligations, if any, of the Released Parties (as</w:t>
        <w:br/>
        <w:t>defined below) in connection with the Merger; (viii) any benefits or consideration received by</w:t>
        <w:br/>
        <w:t>any of the Defendants in the Merger; or (ix) any of the allegations in any complaint or</w:t>
        <w:br/>
        <w:t>amendment(s) thereto filed in the Action (collectively, the “Released Claims”); provided,</w:t>
        <w:br/>
        <w:t>however, for the avoidance of doubt, the Released Claims shall not include the right to enforce</w:t>
        <w:br/>
        <w:t>this Memorandum or the Settlement or any claims for appraisal pursuant to Section 262 of the</w:t>
        <w:br/>
        <w:t>Delaware General Corporation Law;</w:t>
        <w:br/>
        <w:t>(c) that Defendants release Plaintiffs and Plaintiffs’ counsel from all</w:t>
        <w:br/>
        <w:t>claims, complaints, petitions, or sanctions arising out of the investigation, commencement,</w:t>
        <w:br/>
        <w:t>prosecution, settlement, or resolution of the Action, and shall be barred from asserting same;</w:t>
        <w:br/>
        <w:t>- 8 -</w:t>
        <w:br/>
        <w:t>provided, however, that such releases will not include a release of the right to enforce this</w:t>
        <w:br/>
        <w:t>Memorandum or the Settlement;</w:t>
        <w:br/>
        <w:t>(d) whether or not each or all of the following persons or entities were</w:t>
        <w:br/>
        <w:t>named, served with process, or appeared in the Action, that “Released Parties” means MCG</w:t>
        <w:br/>
        <w:t>Capital Corporation, Keith Kennedy, Richard W. Neu, Kenneth J. O’Keefe, Kim D. Kelly,</w:t>
        <w:br/>
        <w:t>Gavin Saitowitz, PennantPark Floating Rate Capital, Ltd., PFLT Panama, LLC, PFLT Funding</w:t>
        <w:br/>
        <w:t>II, LLC, PennantPark Investment Advisers, LLC, and each of their respective past or present</w:t>
        <w:br/>
        <w:t>family members, spouses, heirs, trusts, trustees, executors, estates, administrators, beneficiaries,</w:t>
        <w:br/>
        <w:t>distributees, foundations, agents, employees, fiduciaries, partners, control persons, partnerships,</w:t>
        <w:br/>
        <w:t>general or limited partners or partnerships, joint ventures, member firms, limited liability</w:t>
        <w:br/>
        <w:t>companies, corporations, parents, subsidiaries, divisions, affiliates, associated entities,</w:t>
        <w:br/>
        <w:t>stockholders, principals, officers, managers, directors, managing directors, members, managing</w:t>
        <w:br/>
        <w:t>members, managing agents, predecessors, predecessors-in-interest, successors, successors-in-</w:t>
        <w:br/>
        <w:t>interest, assigns, financial or investment advisors, advisors, consultants, investment bankers,</w:t>
        <w:br/>
        <w:t>funding sources, entities providing any fairness opinion, underwriters, brokers, dealers, lenders,</w:t>
        <w:br/>
        <w:t>commercial bankers, attorneys, personal or legal representatives, accountants, insurers, co-</w:t>
        <w:br/>
        <w:t>insurers, reinsurers, and associates, of each and all of the foregoing;</w:t>
        <w:br/>
        <w:t>(e) that, upon Final Approval of the Settlement, any party providing a</w:t>
        <w:br/>
        <w:t>release (a “Releasing Person”) shall waive and relinquish, to the fullest extent permitted by law,</w:t>
        <w:br/>
        <w:t>the provisions, rights and benefits of any state, federal, or foreign law or principle of common</w:t>
        <w:br/>
        <w:t>law, which may have the effect of limiting the release set forth above. This shall include a</w:t>
        <w:br/>
        <w:t>waiver by the Releasing Persons of any rights pursuant to section 1542 of the California Civil</w:t>
        <w:br/>
        <w:t>Code (or any similar, comparable, or equivalent provision of any federal, state, or foreign law,</w:t>
        <w:br/>
        <w:t>- 9 -</w:t>
        <w:br/>
        <w:t>or principle of common law). The Stipulation shall further provide that Plaintiffs acknowledge,</w:t>
        <w:br/>
        <w:t>and the members of the Class shall be deemed by operation of the entry of a final order and</w:t>
        <w:br/>
        <w:t>judgment approving the Settlement to have acknowledged, that the foregoing waiver was</w:t>
        <w:br/>
        <w:t>separately bargained for, is an integral element of the Settlement, and was relied upon by each</w:t>
        <w:br/>
        <w:t>and all of the Defendants in entering into the Settlement;</w:t>
        <w:br/>
        <w:t>(f) that Defendants have denied, and continue to deny, any</w:t>
        <w:br/>
        <w:t>wrongdoing or liability with respect to all claims asserted in the Action, including that they have</w:t>
        <w:br/>
        <w:t>committed any violations of law, that they have acted improperly in any way, that they have any</w:t>
        <w:br/>
        <w:t>liability or owe any damages of any kind to Plaintiffs and/or the Class, and that any additional</w:t>
        <w:br/>
        <w:t>disclosures (including the additional disclosures made in the Supplemental Disclosures) are</w:t>
        <w:br/>
        <w:t>required under any applicable rule, regulation, statute, or law, but are entering into this</w:t>
        <w:br/>
        <w:t>Memorandum and will execute the Stipulation solely because they consider it desirable that the</w:t>
        <w:br/>
        <w:t>litigation be settled and dismissed with prejudice in order to, among other things, (i) eliminate</w:t>
        <w:br/>
        <w:t>the burden, inconvenience, expense, and distraction of further litigation; and (ii) finally resolve</w:t>
        <w:br/>
        <w:t>and terminate the Released Claims that were or could have been asserted against Defendants in</w:t>
        <w:br/>
        <w:t>the litigation;</w:t>
        <w:br/>
        <w:t>(g) that Plaintiffs and their counsel believe that the claims they have</w:t>
        <w:br/>
        <w:t>asserted in the Action have legal merit, and that their claims were brought in good faith, but that</w:t>
        <w:br/>
        <w:t>they are entering into this Memorandum and will execute the Stipulation because they believe</w:t>
        <w:br/>
        <w:t>the Settlement provides benefits to the stockholders of MCGC and is fair, reasonable, and</w:t>
        <w:br/>
        <w:t>adequate;</w:t>
        <w:br/>
        <w:t>- 10 -</w:t>
        <w:br/>
        <w:t>(h) for entry of a final and binding judgment dismissing the Action</w:t>
        <w:br/>
        <w:t>with prejudice on the merits and, except as set forth in paragraph 9 herein, without costs to any</w:t>
        <w:br/>
        <w:t>Party; and</w:t>
        <w:br/>
        <w:t>(i) that Defendants shall have the right to withdraw from the</w:t>
        <w:br/>
        <w:t>Settlement in the event that (i) any court permanently or temporarily enjoins or otherwise</w:t>
        <w:br/>
        <w:t>precludes the Merger; or (ii) any Released Claim is commenced or prosecuted against any of the</w:t>
        <w:br/>
        <w:t>Released Parties in any court prior to Final Approval of the Settlement, and (following a motion</w:t>
        <w:br/>
        <w:t>by any Defendant) any such claim is not dismissed with prejudice or stayed in contemplation of</w:t>
        <w:br/>
        <w:t>dismissal with prejudice following Final Approval. In the event that any such claim is</w:t>
        <w:br/>
        <w:t>commenced or prosecuted against any of the Released Parties, the Parties shall cooperate and</w:t>
        <w:br/>
        <w:t>use their best efforts to secure the dismissal with prejudice thereof (or a stay thereof in</w:t>
        <w:br/>
        <w:t>contemplation of dismissal with prejudice following Final Approval of the Settlement).</w:t>
        <w:br/>
        <w:t>7. Binding Effect. The Settlement is expressly conditioned on, and the</w:t>
        <w:br/>
        <w:t>definitive Stipulation will reflect, the following conditions: (a) final certification of the Class as a</w:t>
        <w:br/>
        <w:t>non-opt-out class; (b) Final Approval of the Settlement; (c) dismissal of the Action with</w:t>
        <w:br/>
        <w:t>prejudice on the merits as to all members of the Class (including Plaintiffs) without the award of</w:t>
        <w:br/>
        <w:t>any damages, costs, fees or the grant of further relief except for the payments contemplated by</w:t>
        <w:br/>
        <w:t>this Settlement; (d) approval of a release of the Released Parties by the Court, in accordance with</w:t>
        <w:br/>
        <w:t>the definition of Released Claims above; and (e) the consummation of the Merger. All</w:t>
        <w:br/>
        <w:t>provisions of the Memorandum shall be rendered null and void and of no force and effect in the</w:t>
        <w:br/>
        <w:t>event that the Court fails to grant Final Approval of the Settlement or the Merger is not</w:t>
        <w:br/>
        <w:t>consummated for any reason. Additionally, Defendants may, but are not obligated to, render this</w:t>
        <w:br/>
        <w:t>Memorandum null and void in the event that any Released Claim is commenced or prosecuted</w:t>
        <w:br/>
        <w:t>- 11 -</w:t>
        <w:br/>
        <w:t>against any of the Released Parties and such claims are not dismissed with prejudice or stayed in</w:t>
        <w:br/>
        <w:t>contemplation of the dismissal of the Action. In any event of nullification of this Memorandum,</w:t>
        <w:br/>
        <w:t>the Parties shall be deemed to be in the position they were in prior to the execution of this</w:t>
        <w:br/>
        <w:t>Memorandum and the statements made herein and in connection with the negotiation of the</w:t>
        <w:br/>
        <w:t>Memorandum or the Settlement shall not be deemed to prejudice in any way the positions of the</w:t>
        <w:br/>
        <w:t>Parties with respect to the Action, or any other litigation or judicial proceeding, or to constitute</w:t>
        <w:br/>
        <w:t>an admission of fact of wrongdoing by any Party, shall not be used or entitle any Party to recover</w:t>
        <w:br/>
        <w:t>any fees, costs, or expenses incurred in connection with the Action or in connection with any</w:t>
        <w:br/>
        <w:t>other litigation or judicial proceeding, and neither the existence of this Memorandum nor its</w:t>
        <w:br/>
        <w:t>contents nor any statements made in connection with the negotiation of this Memorandum or any</w:t>
        <w:br/>
        <w:t>settlement communications shall be admissible in evidence or shall be referred to for any</w:t>
        <w:br/>
        <w:t>purpose in the Action or in any other litigation or judicial proceeding.</w:t>
        <w:br/>
        <w:t>8. Modifications to the Merger. Plaintiffs acknowledge and agree that the</w:t>
        <w:br/>
        <w:t>parties to the Merger may make amendments or modifications to the Merger, including</w:t>
        <w:br/>
        <w:t>amendments or modifications to the Merger Agreement, prior to the effective date of the Merger.</w:t>
        <w:br/>
        <w:t>Plaintiffs agree that they will not challenge or object to any such amendments or modifications</w:t>
        <w:br/>
        <w:t>so long as it does not change the Merger consideration to the Class’s detriment, materially</w:t>
        <w:br/>
        <w:t>change any other terms of the Merger that would be materially adverse to the Class’s interests, or</w:t>
        <w:br/>
        <w:t>materially conflict with this Memorandum.</w:t>
        <w:br/>
        <w:t>9. Attorneys’ Fees. Defendants recognize that Plaintiffs’ counsel intend to</w:t>
        <w:br/>
        <w:t>apply for an award of attorneys’ fees and expenses. The Parties will seek to negotiate attorneys’</w:t>
        <w:br/>
        <w:t>fees and expenses after conducting Additional Discovery and reaching agreement on the</w:t>
        <w:br/>
        <w:t>substantive terms of the Stipulation. In the event the Parties reach an agreement on the amount</w:t>
        <w:br/>
        <w:t>- 12 -</w:t>
        <w:br/>
        <w:t>of Plaintiffs’ petition for attorneys’ fees and expenses, Plaintiffs will not seek attorneys’ fees or</w:t>
        <w:br/>
        <w:t>expenses from the Court in excess of the amount negotiated and agreed to with counsel for</w:t>
        <w:br/>
        <w:t>Defendants in the Action. In the event the Parties are unable to reach agreement concerning such</w:t>
        <w:br/>
        <w:t>attorneys’ fees and expenses, Defendants may oppose the amount of any application for</w:t>
        <w:br/>
        <w:t>attorneys’ fees and expenses made by Plaintiffs. Any fees and expenses awarded by the Court</w:t>
        <w:br/>
        <w:t>in connection with the Settlement shall be payable within ten (10) business days of the entry of</w:t>
        <w:br/>
        <w:t>an order awarding them. Plaintiffs’ counsel shall be jointly and severally responsible for the</w:t>
        <w:br/>
        <w:t>repayment of any such fees as may be reduced or rescinded upon a successful appeal or collateral</w:t>
        <w:br/>
        <w:t>attack. Any failure by the Parties to reach agreement in the Stipulation on an amount of</w:t>
        <w:br/>
        <w:t>attorneys’ fees and expenses, or by the Court to approve the amount of such attorneys’ fees, shall</w:t>
        <w:br/>
        <w:t>not affect the validity of the Settlement.</w:t>
        <w:br/>
        <w:t>10. Injunction Against Further Proceedings. If, before Final Approval of the</w:t>
        <w:br/>
        <w:t>proposed Settlement by the Court, any action was or is filed in any court asserting claims that are</w:t>
        <w:br/>
        <w:t>related to the subject matter of the Action, the Parties agree to take any and all necessary actions</w:t>
        <w:br/>
        <w:t>to prevent, stay, or seek dismissal of such action, and to oppose entry of any interim or final</w:t>
        <w:br/>
        <w:t>relief in favor of any member of the Class in any other litigation against any of the Parties to this</w:t>
        <w:br/>
        <w:t>Memorandum that challenges the Settlement or otherwise involves a Released Claim.</w:t>
        <w:br/>
        <w:t>11. Representations and Warranties. This Memorandum will be executed by</w:t>
        <w:br/>
        <w:t>counsel for the Parties, each of whom represents and warrants that they have the authority from</w:t>
        <w:br/>
        <w:t>their respective client or clients to enter into this Memorandum and bind their respective client or</w:t>
        <w:br/>
        <w:t>clients thereto. Plaintiffs’ counsel further represent that Named Plaintiff has been a continuous</w:t>
        <w:br/>
        <w:t>stockholder of MCGC at all relevant times and has not assigned, encumbered, or otherwise</w:t>
        <w:br/>
        <w:t>transferred, in whole or in part, the claims in the Action. Proof of Named Plaintiff’s ownership</w:t>
        <w:br/>
        <w:t>- 13 -</w:t>
        <w:br/>
        <w:t>will be provided to Defendants’ counsel before the filing of the Stipulation with the Court. Each</w:t>
        <w:br/>
        <w:t>of the undersigned attorneys affirms that he or she has been duly empowered and authorized to</w:t>
        <w:br/>
        <w:t>enter into this Memorandum.</w:t>
        <w:br/>
        <w:t>12. Governing Law. This Memorandum, the Stipulation, and the Settlement</w:t>
        <w:br/>
        <w:t>shall be governed by and construed in accordance with the laws of the State of Delaware without</w:t>
        <w:br/>
        <w:t>regard to any state’s principles governing choice of law.</w:t>
        <w:br/>
        <w:t>13. Jurisdiction and Venue. Each Party hereto irrevocably and</w:t>
        <w:br/>
        <w:t>unconditionally submits to and accepts the exclusive jurisdiction of the Court for any action, suit,</w:t>
        <w:br/>
        <w:t>or proceeding arising out of or relating in any way to this Memorandum or any matter relating to</w:t>
        <w:br/>
        <w:t>it, and waives any objection that it may have to the laying of venue in the Court or that the Court</w:t>
        <w:br/>
        <w:t>is in an inconvenient forum or does not have personal jurisdiction over it.</w:t>
        <w:br/>
        <w:t>14. No Admission of Liability. The provisions contained in this</w:t>
        <w:br/>
        <w:t>Memorandum shall not be deemed a presumption, concession, or admission by any Defendant of</w:t>
        <w:br/>
        <w:t>any fault, liability, wrongdoing as to any facts or claims that have been or might be alleged or</w:t>
        <w:br/>
        <w:t>asserted in the Action or any other action or proceeding that has been, will be, or could be</w:t>
        <w:br/>
        <w:t>brought, and shall not be interpreted, construed, deemed, invoked, offered, or received in</w:t>
        <w:br/>
        <w:t>evidence or otherwise used by any person in the Action or in any other action or proceeding,</w:t>
        <w:br/>
        <w:t>whether civil, criminal, or administrative, for any purpose other than as provided for expressly</w:t>
        <w:br/>
        <w:t>herein.</w:t>
        <w:br/>
        <w:t>15. Binding on Successors. This Memorandum shall be binding upon and</w:t>
        <w:br/>
        <w:t>inure to the benefit of the Parties and their respective agents, executors, heirs, legal</w:t>
        <w:br/>
        <w:t>representatives, successors, and assigns.</w:t>
        <w:br/>
        <w:t>- 14 -</w:t>
        <w:br/>
        <w:t>16. Modification. This Memorandum shall only be modified or amended by a</w:t>
        <w:br/>
        <w:t>writing, signed by all of the signatories hereto, that refers specifically to this Memorandum.</w:t>
        <w:br/>
        <w:t>17. Execution by Counterparts. This Memorandum may be executed in any</w:t>
        <w:br/>
        <w:t>number of actual, telecopied, or electronically distributed counterparts and by each of the</w:t>
        <w:br/>
        <w:t>different Parties on several counterparts, each of which when so executed and delivered will be</w:t>
        <w:br/>
        <w:t>an original. The executed signature page(s) from each actual, telecopied, or electronically-</w:t>
        <w:br/>
        <w:t>distributed counterpart may be joined together and attached and will constitute one and the same</w:t>
        <w:br/>
        <w:t>instrument.</w:t>
        <w:br/>
        <w:t>18. Miscellaneous. This Memorandum constitutes the entire agreement</w:t>
        <w:br/>
        <w:t>among the Parties to this Memorandum with respect to the subject matter hereof, supersedes all</w:t>
        <w:br/>
        <w:t>written or oral communications, agreements or understandings that may have existed prior to the</w:t>
        <w:br/>
        <w:t>execution of this Memorandum, and may be modified or amended only by a writing signed by</w:t>
        <w:br/>
        <w:t>the Parties hereto. This Memorandum shall be binding upon and inure to the benefit of the</w:t>
        <w:br/>
        <w:t>Parties and their respective agents, executors, heirs and assigns, provided that no Party shall</w:t>
        <w:br/>
        <w:t>assign or delegate its rights or responsibilities under this Memorandum without the prior written</w:t>
        <w:br/>
        <w:t>consent of the other Parties. The Released Parties who are not Parties hereto shall be third party</w:t>
        <w:br/>
        <w:t>beneficiaries under this Memorandum entitled to enforce this Memorandum in accordance with</w:t>
        <w:br/>
        <w:t>its terms.</w:t>
        <w:br/>
        <w:t>19. Notification to the Court. Promptly upon execution of this Memorandum,</w:t>
        <w:br/>
        <w:t>Plaintiffs’ counsel shall inform the Court of the proposed Settlement and provide a copy of this</w:t>
        <w:br/>
        <w:t>Memorandum to the Court.</w:t>
        <w:br/>
        <w:t>Dated: July 30, 2015</w:t>
        <w:br/>
        <w:t>- 15 -</w:t>
        <w:br/>
        <w:t>KAHN SWICK &amp; FOTI, LLC LEVI &amp; KORSINSKY, LLP</w:t>
        <w:br/>
        <w:t>/s/ Michael J. Palestina /s/ Shane T. Rowley</w:t>
        <w:br/>
        <w:t>Michael J. Palestina Shane T. Rowley</w:t>
        <w:br/>
        <w:t>206 Covington Street 30 Broad Street, 24th Floor</w:t>
        <w:br/>
        <w:t>Madisonville, Louisiana 70447 New York, New York 10004</w:t>
        <w:br/>
        <w:t>(504) 455-1400 (212) 363-7500</w:t>
        <w:br/>
        <w:t>Co-Lead Counsel for Plaintiffs Co-Lead Counsel for Plaintiffs</w:t>
        <w:br/>
        <w:t>ANDREWS &amp; SPRINGER, LLC RIGRODSKY &amp; LONG, P.A.</w:t>
        <w:br/>
        <w:t>/s/ Peter B. Andrews /s/ Gina M. Serra</w:t>
        <w:br/>
        <w:t>Peter B. Andrews (Bar No. 4623) Seth D. Rigrodsky (Bar No. 3147)</w:t>
        <w:br/>
        <w:t>Craig J. Springer (Bar No. 5529) Brian D. Long (Bar No. 4347)</w:t>
        <w:br/>
        <w:t>Building C, Suite 305 Gina M. Serra (Bar No. 5387)</w:t>
        <w:br/>
        <w:t>Wilmington, Delaware 19807 Jeremy J. Riley (Bar No. 5791)</w:t>
        <w:br/>
        <w:t>(302) 504-4957 2 Righter Parkway, Suite 120</w:t>
        <w:br/>
        <w:t>Wilmington, Delaware 19803</w:t>
        <w:br/>
        <w:t>Delaware Counsel for Plaintiffs (302) 295-5310</w:t>
        <w:br/>
        <w:t>Delaware Counsel for Plaintiffs</w:t>
        <w:br/>
        <w:t>DECHERT LLP YOUNG CONAWAY STARGATT &amp;</w:t>
        <w:br/>
        <w:t>TAYLOR, LLP</w:t>
        <w:br/>
        <w:t>/s/ David A. Kotler /s/ Martin S. Lessner</w:t>
        <w:br/>
        <w:t>David A. Kotler Martin S. Lessner (Bar. No. 3109)</w:t>
        <w:br/>
        <w:t>Suite 500, 902 Carnegie Center Paul J. Loughman (Bar No. 5508)</w:t>
        <w:br/>
        <w:t>Princeton, New Jersey 08540 1000 North King Street</w:t>
        <w:br/>
        <w:t>Wilmington, Delaware 19801</w:t>
        <w:br/>
        <w:t>Attorney for PennantPark Floating Rate (302) 571-6600</w:t>
        <w:br/>
        <w:t>Capital, Ltd., PFLT Panama, LLC, PFLT</w:t>
        <w:br/>
        <w:t>Funding II, LLC, and PennantPark Attorneys for PennantPark Floating Rate Capital,</w:t>
        <w:br/>
        <w:t>Investment Advisers, LLC Ltd., PFLT Panama, LLC, PFLT Funding II, LLC,</w:t>
        <w:br/>
        <w:t>and PennantPark Investment Advisers, LLC</w:t>
        <w:br/>
        <w:t>- 16 -</w:t>
        <w:br/>
        <w:t>WACHTELL, LIPTON ROSEN &amp; KATZ ROSS ARONSTAM &amp; MORITZ LLP</w:t>
        <w:br/>
        <w:t>/s/ Nicholas Walter /s/ Garrett B. Moritz</w:t>
        <w:br/>
        <w:t>Nicholas Walter Bradley R. Aronstam (Bar No. 5129)</w:t>
        <w:br/>
        <w:t>51 West 52nd Street Garrett B. Moritz (Bar No. 5646)</w:t>
        <w:br/>
        <w:t>New York, New York 10019 Benjamin Z. Grossberg (Bar No. 5615)</w:t>
        <w:br/>
        <w:t>(212) 403-1000 100 South West Street, Suite 400</w:t>
        <w:br/>
        <w:t>Wilmington, Delaware 19801</w:t>
        <w:br/>
        <w:t>Attorney for Defendants Keith Kennedy, (302) 576-1600</w:t>
        <w:br/>
        <w:t>Richard W. Neu, Kenneth J. O’Keefe, Kim</w:t>
        <w:br/>
        <w:t>D. Kelly, Gavin Saitowitz and MCG Attorneys for Defendants Keith Kennedy, Richard W.</w:t>
        <w:br/>
        <w:t>Capital Corporation Neu, Kenneth J. O’Keefe, Kim D. Kelly, Gavin</w:t>
        <w:br/>
        <w:t>Saitowitz and MCG Capital Corporation</w:t>
        <w:br/>
        <w:t>- 17 -</w:t>
        <w:br/>
        <w:t>EXHIBIT A</w:t>
        <w:br/>
        <w:t>On page 91, the following sentence is inserted after the first sentence of the final paragraph:</w:t>
        <w:br/>
        <w:t>The MCG board of directors discussed with representatives of Morgan Stanley &amp; Co. LLC (“Morgan</w:t>
        <w:br/>
        <w:t>Stanley”), among other things, the ongoing pressure on valuations in the BDC sector, MCG’s inability</w:t>
        <w:br/>
        <w:t>to issue stock with its stock price trading below NAV, the difficulties of making acquisitions in such a</w:t>
        <w:br/>
        <w:t>situation, dividend sustainability, and the interest in BDCs from certain entities looking to increase</w:t>
        <w:br/>
        <w:t>their capital.</w:t>
        <w:br/>
        <w:t>On page 91, the final sentence of the final paragraph is amended and restated as follows:</w:t>
        <w:br/>
        <w:t>Following a thorough review of MCG’s investment portfolio and market conditions, the MCG board of</w:t>
        <w:br/>
        <w:t>directors determined to explore strategic alternatives for the company and to formally engage Morgan</w:t>
        <w:br/>
        <w:t>Stanley as its financial adviser and Wachtell, Lipton, Rosen &amp; Katz (“Wachtell Lipton”) as its legal</w:t>
        <w:br/>
        <w:t>adviser in the matter.</w:t>
        <w:br/>
        <w:t>On page 92, the first two sentences of the second full paragraph are amended and restated as follows:</w:t>
        <w:br/>
        <w:t>Following the public announcement, Morgan Stanley contacted a total of 103 potential counterparties to</w:t>
        <w:br/>
        <w:t>solicit their interest in pursuing a strategic transaction with MCG. These potential counterparties</w:t>
        <w:br/>
        <w:t>consisted of 51 BDCs, 9 specialty finance companies, 39 private equity and credit funds, and 4 asset</w:t>
        <w:br/>
        <w:t>managers. Of those contacted, 52 entered into confidentiality agreements with MCG that included</w:t>
        <w:br/>
        <w:t>customary terms regarding non-disclosure of MCG’s non-public information but that did not include</w:t>
        <w:br/>
        <w:t>“standstill” provisions that could have limited any of these parties from making a subsequent offer.</w:t>
        <w:br/>
        <w:t>These 52 counterparties consisted of 29 BDCs, 4 specialty finance companies, and 19 private equity and</w:t>
        <w:br/>
        <w:t>credit funds.</w:t>
        <w:br/>
        <w:t>On page 92, the third and fourth sentences of the fourth full paragraph are amended and restated as</w:t>
        <w:br/>
        <w:t>follows:</w:t>
        <w:br/>
        <w:t>The MCG board of directors discussed with its financial and legal advisers the desirability of reducing</w:t>
        <w:br/>
        <w:t>the number of parties in the process in order to better focus on and negotiate with those parties who</w:t>
        <w:br/>
        <w:t>seemed more likely to produce the strongest final bids and to consummate a transaction. Following a</w:t>
        <w:br/>
        <w:t>detailed discussion, the MCG board of directors instructed Morgan Stanley to inform four parties,</w:t>
        <w:br/>
        <w:t>including PFLT, that they had been selected to continue in the process and were invited to submit</w:t>
        <w:br/>
        <w:t>definitive transaction proposals. The MCG board of directors also instructed Morgan Stanley to inform a</w:t>
        <w:br/>
        <w:t>BDC that had submitted a preliminary indication of interest that the preliminary indication did not</w:t>
        <w:br/>
        <w:t>provide sufficient value but that it was invited to revise its proposal to offer greater value to MCG</w:t>
        <w:br/>
        <w:t>stockholders.</w:t>
        <w:br/>
        <w:t>On page 98, the final sentence of the final paragraph is restated as follows:</w:t>
        <w:br/>
        <w:t>Representatives of Morgan Stanley also informed the MCG board of directors that, in the two previous</w:t>
        <w:br/>
        <w:t>years, Morgan Stanley or its affiliates had provided financing services for PFLT and its affiliates, for</w:t>
        <w:br/>
        <w:t>which Morgan Stanley and its affiliates had received fees. For a further discussion of the opinion of</w:t>
        <w:br/>
        <w:t>Morgan Stanley, and the compensation Morgan Stanley and its affiliates received for such financing</w:t>
        <w:br/>
        <w:t>services, see “The Merger—Opinion of Morgan Stanley &amp; Co. LLC.”</w:t>
        <w:br/>
        <w:t>On page 123, the following language is inserted after the phrase “$167 million” in the third sentence</w:t>
        <w:br/>
        <w:t>under the heading “Historical NAV per Share Analysis”:</w:t>
        <w:br/>
        <w:t>(equating to a NAV per share of MCG Common Stock of $4.521)</w:t>
        <w:br/>
        <w:t>On page 124, the following table and text is inserted after the bulleted list:</w:t>
        <w:br/>
        <w:t>The specific current and historical financial information, ratios and public market multiples that Morgan</w:t>
        <w:br/>
        <w:t>Stanley used to compare MCG with each of the selected companies is set forth in the following table</w:t>
        <w:br/>
        <w:t>(with all market data being as of April 24, 2015):</w:t>
        <w:br/>
        <w:t>Market</w:t>
        <w:br/>
        <w:t>Value Total Assets</w:t>
        <w:br/>
        <w:t>Price / Price / Current</w:t>
        <w:br/>
        <w:t>($ in ($ in LTM 2015E 2016E Price / Dividend</w:t>
        <w:br/>
        <w:t>Company millions) millions) Total Return EPS EPS NAV Yield</w:t>
        <w:br/>
        <w:t>MCG Capital $151 $184 13.8% N/M N/A 0.87x -</w:t>
        <w:br/>
        <w:t>Corp.</w:t>
        <w:br/>
        <w:t>Alcentra Capital $186 $272 N/A 9.9x 9.8x 0.92x 9.9%</w:t>
        <w:br/>
        <w:t>Corp.</w:t>
        <w:br/>
        <w:t>American $134 $282 (0.7)% 11.2x 11.2x 0.93x 8.7%</w:t>
        <w:br/>
        <w:t>Capital Senior</w:t>
        <w:br/>
        <w:t>Floating, Ltd.</w:t>
        <w:br/>
        <w:t>Capitala Finance $291 $550 (4.8)% 9.5x 9.0x 0.95x 10.6%</w:t>
        <w:br/>
        <w:t>Corp.</w:t>
        <w:br/>
        <w:t>CM Finance Inc. $185 $356 (1.5)% 9.7x 9.6x 0.91x 10.2%</w:t>
        <w:br/>
        <w:t>Fidus Investment $272 $436 (9.6)% 10.2x 9.7x 1.12x 9.0%</w:t>
        <w:br/>
        <w:t>Corp.</w:t>
        <w:br/>
        <w:t>Firsthand $118 $263 (26.5)% 30.6x 20.4x 0.63x -</w:t>
        <w:br/>
        <w:t>Technology</w:t>
        <w:br/>
        <w:t>Value Fund, Inc.</w:t>
        <w:br/>
        <w:t>Garrison Capital $252 $506 6.1% 9.7x 9.6x 0.96x 9.3%</w:t>
        <w:br/>
        <w:t>Inc.</w:t>
        <w:br/>
        <w:t>Gladstone $187 $344 (9.8)% 10.5x 10.6x 0.95x 9.5%</w:t>
        <w:br/>
        <w:t>Capital Corp.</w:t>
        <w:br/>
        <w:t>Gladstone $229 $412 (4.4)% 10.2x N/A 0.88x 9.9%</w:t>
        <w:br/>
        <w:t>Investment Corp.</w:t>
        <w:br/>
        <w:t>GSV Capital $189 $486 2.6% 28.0x 14.0x 0.66x -</w:t>
        <w:br/>
        <w:t>Corp.</w:t>
        <w:br/>
        <w:t>Horizon $166 $225 6.5% 10.6x 9.8x 1.00x 9.7%</w:t>
        <w:br/>
        <w:t>Technology</w:t>
        <w:br/>
        <w:t>Finance Corp.</w:t>
        <w:br/>
        <w:t>KCAP Financial, $227 $510 (23.9)% 9.8x 8.5x 0.89x 13.6%</w:t>
        <w:br/>
        <w:t>Inc.</w:t>
        <w:br/>
        <w:t>Medallion $260 $632 (24.4)% 8.9x 8.5x 0.94x 9.1%</w:t>
        <w:br/>
        <w:t>Financial Corp.</w:t>
        <w:br/>
        <w:t>Monroe Capital $175 $244 10.7% 9.0x 8.6x 1.03x 9.7%</w:t>
        <w:br/>
        <w:t>Corp.</w:t>
        <w:br/>
        <w:t>MVC Capital, $221 $597 (26.1)% 10.3x N/A 0.61x 5.5%</w:t>
        <w:br/>
        <w:t>Inc.</w:t>
        <w:br/>
        <w:t>OFS Capital $118 $341 (4.2)% 9.5x 8.1x 0.86x 11.1%</w:t>
        <w:br/>
        <w:t>- 19 -</w:t>
        <w:br/>
        <w:t>Corp.</w:t>
        <w:br/>
        <w:t>OHA Investment $117 $242 (19.3)% N/A N/A 0.76x 8.5%</w:t>
        <w:br/>
        <w:t>Corp.</w:t>
        <w:br/>
        <w:t>PennantPark $210 $356 2.3% 11.5x 12.1x 1.00x 8.1%</w:t>
        <w:br/>
        <w:t>Floating Rate</w:t>
        <w:br/>
        <w:t>Capital, Ltd.</w:t>
        <w:br/>
        <w:t>Solar Senior $187 $385 (4.0)% 11.7x 11.3x 0.92x 8.7%</w:t>
        <w:br/>
        <w:t>Capital Ltd.</w:t>
        <w:br/>
        <w:t>Stellus Capital $187 $327 (7.8)% 9.5x 8.9x 0.90x 10.8%</w:t>
        <w:br/>
        <w:t>Investment Corp.</w:t>
        <w:br/>
        <w:t>TriplePoint $238 $326 (6.2)% 9.0x 8.5x 0.99x 10.0%</w:t>
        <w:br/>
        <w:t>Venture Growth</w:t>
        <w:br/>
        <w:t>BDC Corp.</w:t>
        <w:br/>
        <w:t>WhiteHorse $190 $427 (6.7)% 9.5x 9.4x 0.84x 11.2%</w:t>
        <w:br/>
        <w:t>Finance, Inc.</w:t>
        <w:br/>
        <w:t>On page 127, the following language is inserted after the phrase “from 2015 to 2019” in the first bullet</w:t>
        <w:br/>
        <w:t>under the heading “Dividend Discount Analysis”:</w:t>
        <w:br/>
        <w:t>(which dividends per share of PFLT Common Stock were estimated to be $1.10 in 2015, $1.03 in 2016,</w:t>
        <w:br/>
        <w:t>$1.02 in 2017, $1.03 in 2018 and $1.04 in 2019)</w:t>
        <w:br/>
        <w:t>On page 127, the seventh bullet under the heading “Dividend Discount Analysis” is amended and</w:t>
        <w:br/>
        <w:t>restated as follows:</w:t>
        <w:br/>
        <w:t>$50 million equity capital raises in each year from 2015 to 2019 (which was selected by Morgan Stanley</w:t>
        <w:br/>
        <w:t>based on its estimate of the amount of additional equity capital PFLT would need to support portfolio</w:t>
        <w:br/>
        <w:t>growth while allowing it to comply with all of its required debt ratios), in each case at an issuance price</w:t>
        <w:br/>
        <w:t>equal to the NAV per share of PFLT Common Stock (which was determined by Morgan Stanley based on</w:t>
        <w:br/>
        <w:t>the fact that (i) PFLT had never raised equity capital at an issuance price that was less than the NAV per</w:t>
        <w:br/>
        <w:t>share of PFLT Common Stock and (ii) the PFLT board of directors did not have the authority to issue</w:t>
        <w:br/>
        <w:t>additional equity at an issuance price that is less than the NAV per share of PFLT Common Stock without</w:t>
        <w:br/>
        <w:t>the prior receipt of PFLT stockholder approval);</w:t>
        <w:br/>
        <w:t>On page 127, the following language is inserted after the phrase “PFLT Common Stock” in the eighth</w:t>
        <w:br/>
        <w:t>bullet under the heading “Dividend Discount Analysis”:</w:t>
        <w:br/>
        <w:t>(which was selected by Morgan Stanley based on the fact that (i) shares of PFLT Common Stock had not</w:t>
        <w:br/>
        <w:t>historically traded above a P/NAV of 1.0x and (ii) in Morgan Stanley’s view, potential buyers of PFLT’s</w:t>
        <w:br/>
        <w:t>loan portfolio would likely apply a discount when acquiring such loans)</w:t>
        <w:br/>
        <w:t>On page 127, the following language is inserted after the phrase “4.4% to 6.4%” in the ninth bullet</w:t>
        <w:br/>
        <w:t>under the heading “Dividend Discount Analysis”:</w:t>
        <w:br/>
        <w:t>(which was calculated by Morgan Stanley based on a (i) risk free rate of 1.93% (based on the 10-year</w:t>
        <w:br/>
        <w:t>treasury spot rate as of April 24, 2014), (ii) 6% market risk premium (based on Morgan Stanley internal</w:t>
        <w:br/>
        <w:t>estimates) and (iii) predicted beta of 0.57 (based on a select set of PFLT peer companies); using these</w:t>
        <w:br/>
        <w:t>inputs, Morgan Stanley calculated a cost of equity of 5.4% and then applied an upside and downside</w:t>
        <w:br/>
        <w:t>sensitivity range of 1%)</w:t>
        <w:br/>
        <w:t>On page 128, the following sentence is inserted before the first sentence in the final paragraph:</w:t>
        <w:br/>
        <w:t>- 20 -</w:t>
        <w:br/>
        <w:t>In the two years prior to the date of its opinion, Morgan Stanley and its affiliates have not been engaged</w:t>
        <w:br/>
        <w:t>on any financial advisory or financing assignments for MCG, and have not received any fees for such</w:t>
        <w:br/>
        <w:t>services from MCG during this time.</w:t>
        <w:br/>
        <w:t>- 21 -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