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By and Among</w:t>
        <w:br/>
        <w:t xml:space="preserve">  HeartCore Enterprises, Inc.</w:t>
        <w:br/>
        <w:t xml:space="preserve">  And</w:t>
        <w:br/>
        <w:t xml:space="preserve">  ZEROSPO</w:t>
        <w:br/>
        <w:t xml:space="preserve">            Table of Contents</w:t>
        <w:br/>
        <w:t xml:space="preserve">  Article I. Definitions and Interpretation 1</w:t>
        <w:br/>
        <w:t xml:space="preserve">      Section 1.01        Definitions. 1</w:t>
        <w:br/>
        <w:t>Section 1.02        Interpretive Provisions. 2</w:t>
        <w:br/>
        <w:t xml:space="preserve">    Article II. Purchase and Sale 3</w:t>
        <w:br/>
        <w:t xml:space="preserve">      Section 2.01        Purchase and Sale. 3</w:t>
        <w:br/>
        <w:t>Section 2.02        Deliverables at Closing. 3</w:t>
        <w:br/>
        <w:t>Section 2.03        Closing. 3</w:t>
        <w:br/>
        <w:t xml:space="preserve">    Article III. Representations and Warranties of the Company 3</w:t>
        <w:br/>
        <w:t xml:space="preserve">      Section 3.01        Authorization of Transactions. 3</w:t>
        <w:br/>
        <w:t>Section 3.02        Governmental Approvals; Non-contravention. 3</w:t>
        <w:br/>
        <w:t>Section 3.03        Brokers. 4</w:t>
        <w:br/>
        <w:t xml:space="preserve">    Article IV. Representations and Warranties of Buyer 4</w:t>
        <w:br/>
        <w:t xml:space="preserve">      Section 4.01        Authorization of Transactions. 4</w:t>
        <w:br/>
        <w:t>Section 4.02        Governmental Approvals; Non-contravention. 4</w:t>
        <w:br/>
        <w:t>Section 4.03        Investment Representations. 4</w:t>
        <w:br/>
        <w:t>Section 4.04        Brokers. 6</w:t>
        <w:br/>
        <w:t xml:space="preserve">    Article V. Miscellaneous 6</w:t>
        <w:br/>
        <w:t xml:space="preserve">      Section 5.01        Indemnification. 6</w:t>
        <w:br/>
        <w:t>Section 5.02        Notices. 6</w:t>
        <w:br/>
        <w:t>Section 5.03        Attorneys’ Fees 7</w:t>
        <w:br/>
        <w:t>Section 5.04        Amendments; No Waivers; No Consequential Damages. 7</w:t>
        <w:br/>
        <w:t>Section 5.05        Expenses. 7</w:t>
        <w:br/>
        <w:t>Section 5.06        Further Assurances. 7</w:t>
        <w:br/>
        <w:t>Section 5.07        Successors and Assigns; Benefit. 8</w:t>
        <w:br/>
        <w:t>Section 5.08        Governing Law; Etc. 8</w:t>
        <w:br/>
        <w:t>Section 5.09        Survival. 9</w:t>
        <w:br/>
        <w:t>Section 5.10        Severability. 9</w:t>
        <w:br/>
        <w:t>Section 5.11        Entire Agreement. 9</w:t>
        <w:br/>
        <w:t>Section 5.12        Specific Performance. 9</w:t>
        <w:br/>
        <w:t>Section 5.13        Construction. 9</w:t>
        <w:br/>
        <w:t>Section 5.14        Counterparts. 9</w:t>
        <w:br/>
        <w:t xml:space="preserve">    Exhibit A       Promissory Note  </w:t>
        <w:br/>
        <w:t xml:space="preserve">  i</w:t>
        <w:br/>
        <w:t xml:space="preserve">    Note Purchase Agreement</w:t>
        <w:br/>
        <w:t xml:space="preserve">  Dated as of May 2, 2023</w:t>
        <w:br/>
        <w:t xml:space="preserve">  This Note Purchase Agreement (this “Agreement”) is entered into as of the date set forth above (the “Closing Date”), by and among ZEROSPO, an exempted company incorporated in the Cayman Islands (the “Company”) and HeartCore Enterprises, Inc., a Delaware corporation (“Buyer”). The Company and the Buyer may be collectively referred to herein as the “Parties” and each individually as a “Party”.</w:t>
        <w:br/>
        <w:t xml:space="preserve">  WHEREAS, the Company desires to issue and sell to the Buyer a promissory note of the Company on the terms set forth herein and the Buyer wishes to purchase such promissory note on the terms and conditions provided for herein and the Parties desire to undertake the other actions and enter into the other agreements as set forth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 and Interpretation</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(d)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(e) “Law” means any applicable foreign, federal, state or local law (including common law), statute, treaty, rule, directive, regulation, ordinances and similar provisions having the force or effect of law or an Order of any Governmental Entity.</w:t>
        <w:br/>
        <w:t xml:space="preserve">        (f)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1</w:t>
        <w:br/>
        <w:t xml:space="preserve">      (g)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(h) “Order” means any judgment, writ, decree, determination, award, compliance agreement, settlement agreement, injunction, ruling, charge, judicial or administrative order, determination or other restriction of any Governmental Entity or arbitrator.</w:t>
        <w:br/>
        <w:t xml:space="preserve">        (i) “Person” means a natural person, a corporation, a limited liability company, a partnership, an association, a trust or any other entity or organization, including a government or political subdivision or any agency or instrumentality thereof.</w:t>
        <w:br/>
        <w:t xml:space="preserve">        (j) “Securities Act” means the United States Securities Act of 1933, as amended, and the rules and regulation promulgated thereunder.</w:t>
        <w:br/>
        <w:t xml:space="preserve">        (k) “Transactions” means the purchase and sale of the Note and the other transactions contemplated under the Transaction Documents.</w:t>
        <w:br/>
        <w:t xml:space="preserve">        (l)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2</w:t>
        <w:br/>
        <w:t xml:space="preserve">    Article II. Purchase and Sale</w:t>
        <w:br/>
        <w:t xml:space="preserve">  Section 2.01 Purchase and Sale. Subject to the terms and conditions of this Agreement, at the Closing (as defined below), the Company shall issue and sell to Buyer a promissory note of the Company in the form as attached hereto as Exhibit A (the “Note”) in the aggregate principal amount of $300,000, for a purchase price equal to such aggregate principal amount (the “Purchase Price”).</w:t>
        <w:br/>
        <w:t>Section 2.02 Deliverables at Closing.</w:t>
        <w:br/>
        <w:t xml:space="preserve">    (a) At the Closing, the Buyer shall:</w:t>
        <w:br/>
        <w:t xml:space="preserve">  (i) Pay the Purchase Price to the Company, pursuant to the wire transfer instructions as provided by the Company to Buyer; and</w:t>
        <w:br/>
        <w:t xml:space="preserve">        (ii) Deliver to the Company a copy of the Note, duly executed by the Buyer.</w:t>
        <w:br/>
        <w:t xml:space="preserve">  (b) At the Closing, the Company shall deliver to the Buyer a copy of the Note, duly executed by an authorized officer of the Company.</w:t>
        <w:br/>
        <w:t>Section 2.03 Closing. On the terms set forth herein, the closing of the Transactions (the “Closing”) shall take place on the Closing Date by conference call and electronic communication (i.e., emails/pdf) and exchange of the executed Transaction Documents.</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an exempted company incorporated in the Cayman Islands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3</w:t>
        <w:br/>
        <w:t xml:space="preserve">      (b) The execution, delivery and performance by the Company of the Transaction Documents to which the Company is a party, and the consummation by the Company of the Transactions, do not (i) violate or conflict with any Law or Order to which the Company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is subject or by which the Company’s properties, assets or rights are bound or (iii) result in the creation or imposition of any Lien upon any of the rights, properties or assets of the Company.</w:t>
        <w:br/>
        <w:t>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The Buyer is a corporation duly organized and in good standing in the State of Delaware and has the requisite power and capacity to execute and deliver the Transaction Documents to which it is are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Xxxxx is a party have been duly and validly executed and delivered by Xxxxx.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Xxxxx of the Transaction Documents to which Buyer is a party, and the consummation by Buyer of the Transactions, do not violate any Laws or Orders to which Buyer is subject or violate, breach or conflict with any provision of Buyer’s organizational documents.</w:t>
        <w:br/>
        <w:t>Section 4.03 Investment Representations.</w:t>
        <w:br/>
        <w:t xml:space="preserve">  (a) Buyer understands and agrees that the consummation of this Agreement including the delivery of the Note as contemplated hereby constitute the offer and sale of securities under the Securities Act and applicable state statutes and that the Note is being acquired for Buyer’s own account and not with a present view towards the public sale or distribution thereof, except pursuant to sales registered or exempted from registration under the Securities Act.</w:t>
        <w:br/>
        <w:t>4</w:t>
        <w:br/>
        <w:t xml:space="preserve">      (b) Buyer is an “accredited investor” as that term is defined in Rule 501(a) of Regulation D under the Securities Act.</w:t>
        <w:br/>
        <w:t xml:space="preserve">        (c) Buyer understands that the Note is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Note.</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Note for Xxxxx’s own account as principal, not as a nominee or agent, for investment purposes only, and not with a view to, or for, resale, distribution or fractionalization thereof in whole or in part and no other person has a direct or indirect beneficial interest in the Note. Further, Buyer does not have any contract, undertaking, agreement or arrangement with any person to sell, transfer or grant participations to such person or to any third person, with respect to the Note.</w:t>
        <w:br/>
        <w:t xml:space="preserve">        (f) Xxxxx, either alone or together with Xxxxx’s representatives, has such knowledge, sophistication and experience in business and financial matters so as to be capable of evaluating the merits and risks of the prospective investment in the Note, and has so evaluated the merits and risks of such investment.</w:t>
        <w:br/>
        <w:t xml:space="preserve">        (g) Buyer understands that until such time as the Note have been registered under the Securities Act or may be sold pursuant to any applicable exemption without any restriction as to the number of securities as of a particular date that can then be immediately sold, the Note may bear a restrictive legend in substantially the following form (and a stop-transfer order may be placed against transfer of the certificates for such Note):</w:t>
        <w:br/>
        <w:t>“NEITHER THE ISSUANCE AND SALE OF THIS NOTE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AN APPLICABLE EXEMPTION UNDER SAID ACT.”</w:t>
        <w:br/>
        <w:t xml:space="preserve">  5</w:t>
        <w:br/>
        <w:t xml:space="preserve">      (h) Buyer understands that no United States federal or state agency or any other governmental or state agency has passed on or made recommendations or endorsement of the Note or the suitability of the investment in the Note nor have such authorities passed upon or endorsed the merits of the transactions set forth herein.</w:t>
        <w:br/>
        <w:t>Section 4.04 Brokers. Xxxxx has not engaged any investment banker, finder, broker or sales agent or any other Person in connection with the origin, negotiation, execution, delivery or performance of any Transaction Document to which it is a party, or the Transactions.</w:t>
        <w:br/>
        <w:t xml:space="preserve">  Article V. Miscellaneous</w:t>
        <w:br/>
        <w:t xml:space="preserve">  Section 5.01 Indemnification. In the event either Party is subject to any action, claim or proceeding resulting from the other’s gross negligence or intentional breach of this Agreement or the Note, the Party at fault agrees to indemnify and hold harmless the other Party to the fullest extent permitted by applicable law from any such action, claim or proceeding. Indemnification shall include all fees, costs and reasonable attorneys’ fees that the indemnified Party may incur. In claiming indemnification hereunder, the indemnified Party shall promptly provide the indemnifying Party written notice of any claim that the indemnified Party reasonably believes falls within the scope of this Agreement. The indemnified Party may, at its expense, assist in the defense if it so chooses, provided that the indemnifying Party shall control such defense, and all negotiations relative to the settlement of any such claim. Any settlement intended to bind the indemnified Party shall not be final without the indemnified Party’s written consent. Any liability of a Party pursuant to this Section 5.01 shall not exceed the Purchase Price plus any interest due and payable on the Note at such time.</w:t>
        <w:br/>
        <w:t xml:space="preserve">  Section 5.02 Notices. All notices under this Agreement shall be in writing. Notices may be served by certified or registered mail, postage paid with return receipt requested; by private courier, prepaid; by other reliable form of electronic communication; or personally. Mailed notices shall be deemed delivered five (5) days after mailing, properly addressed. Couriered notices shall be deemed delivered on the date that the courier warrants that delivery will occur. Electronic communication notices shall be deemed delivered when receipt is either confirmed by confirming transmission equipment or acknowledged by the addressee or its office. Personal delivery shall be effective when accomplished. Any Party may change its address by giving notice, in writing, stating its new address, to the other Party. Subject to the forgoing, notices shall be sent as follows:</w:t>
        <w:br/>
        <w:t xml:space="preserve">  if to the Company, to:</w:t>
        <w:br/>
        <w:t xml:space="preserve">  ZEROSPO</w:t>
        <w:br/>
        <w:t>Attn: Xxxxxx Xxxxx</w:t>
        <w:br/>
        <w:t>5-19-9-3, Xxxxxxxxx, Shinagawa</w:t>
        <w:br/>
        <w:t>Tokyo 140-0011 Japan</w:t>
        <w:br/>
        <w:t>Email: xxxxx@xxxxxxxxxx.xx.xx</w:t>
        <w:br/>
        <w:t xml:space="preserve">  6</w:t>
        <w:br/>
        <w:t xml:space="preserve">    If to the Buyer, to:</w:t>
        <w:br/>
        <w:t xml:space="preserve">  HeartCore Enterprises, Inc.</w:t>
        <w:br/>
        <w:t>Attn: Xxxxxxxx Xxxxxxxx</w:t>
        <w:br/>
        <w:t>000 Xxxxxx Xxx. Apt G</w:t>
        <w:br/>
        <w:t>Los Altos CA 94022</w:t>
        <w:br/>
        <w:t>Email: xxxxx@xxxxxxxxx.xx.xx</w:t>
        <w:br/>
        <w:t xml:space="preserve">  Section 5.03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5.04 Amendments; No Waivers; No Consequential Damages.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Section 5.05 Expenses. Unless otherwise contemplated or stipulated by a Transaction Document, all costs and expenses incurred in connection with this Agreement shall be paid by the Party incurring such cost or expense.</w:t>
        <w:br/>
        <w:t xml:space="preserve">  Section 5.06 Further Assurances. At and following the Closing, each Party shall execute and deliver such documents and other papers and take such further action as may be reasonably required to carry out the provisions of the Transaction Documents.</w:t>
        <w:br/>
        <w:t xml:space="preserve">  7</w:t>
        <w:br/>
        <w:t xml:space="preserve">    Section 5.07 Successors and Assigns; Benefit.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including by merger, consolidation, operation of law, or otherwise, without the prior written consent of the other Party and any such purported assignment in contravention of the provisions herein shall be null and void and of no force or effect. Other than as specifically set forth herein, including in Section 5.01, nothing in this Agreement shall confer on any Person other than the Parties, and their respective successors and assigns, any rights, remedies, obligations, or Liabilities under or by reason of this Agreement.</w:t>
        <w:br/>
        <w:t xml:space="preserve">  Section 5.08 Governing Law; Etc.</w:t>
        <w:br/>
        <w:t xml:space="preserve">    (a) This Agreement, and all matters based upon, arising out of or relating in any way to the Transactions or the Transaction Documents, including, without limitation, tort claims, statutory claims and contract claims, shall be interpreted, construed, governed and enforced under and in accordance with the substantive and procedural Laws of the State of Delaware in each case as in effect from time to time and as the same may be amended from time to time, and as applied to agreements performed wholly within the State of Delaware.</w:t>
        <w:br/>
        <w:t xml:space="preserve">        (b) ANY LEGAL SUIT, ACTION OR PROCEEDING ARISING OUT OF OR BASED UPON THIS AGREEMENT OR THE TRANSACTIONS CONTEMPLATED HEREIN SHALL BE INSTITUTED SOLELY IN EITHER (1) THE FEDERAL COURTS OF THE UNITED STATES OF AMERICA OR THE COURTS OF THE STATE OF CALIFORNIA, IN EACH CASE LOCATED IN SANTA CLARA COUNTY, CALIFORNIA, OR (2) THE TOKYO DISTRICT COURT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8</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5.08(C). EACH OF THE PARTIES ACKNOWLEDGE THAT EACH HAS BEEN REPRESENTED IN CONNECTION WITH THE SIGNING OF THE WAIVER ABOVE BY INDEPENDENT LEGAL COUNSEL SELECTED BY THE RESPECTIVE PARTY AND THAT SUCH PARTY HAS DISCUSSED THE LEGAL CONSEQUENCES AND IMPORT OF THIS WAIVER WITH LEGAL COUNSEL. EACH OF THE PARTIES FURTHER ACKNOWLEDGE THAT EACH HAS READ AND UNDERSTANDS THE MEANING OF SUCH WAIVER AND GRANTS THIS WAIVER KNOWINGLY, VOLUNTARILY, WITHOUT DURESS AND ONLY AFTER CONSIDERATION OF THE CONSEQUENCES OF THIS WAIVER WITH LEGAL COUNSEL.</w:t>
        <w:br/>
        <w:t>Section 5.09 Survival. The representations and warranties in this Agreement shall survive the Closing for a period of 12 months from the Closing Date, and no claim for indemnification may be made after such time. All covenants and agreements in this Agreement, and such provisions herein as required to give effect to the same, will survive until fully performed; provided, however, that, nothing herein shall prevent a Party from making any claim hereunder, or relieve any other Party from any liability hereunder, after such time for any breach thereof.</w:t>
        <w:br/>
        <w:t xml:space="preserve">  Section 5.10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5.11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5.12 Specific Performance.</w:t>
        <w:br/>
        <w:t xml:space="preserv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5.13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5.14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9</w:t>
        <w:br/>
        <w:t xml:space="preserve">    IN WITNESS WHEREOF, the Parties have caused this Agreement to be duly executed as of the Closing Date.</w:t>
        <w:br/>
        <w:t xml:space="preserve">  HeartCore Enterprises, Inc.</w:t>
        <w:br/>
        <w:t xml:space="preserve">        By: /s/ Xxxxxxxx Xxxxxxxx</w:t>
        <w:br/>
        <w:t xml:space="preserve">  Name: Xxxxxxxx Xxxxxxxx</w:t>
        <w:br/>
        <w:t xml:space="preserve">  Title: Chief Executive Officer</w:t>
        <w:br/>
        <w:t xml:space="preserve">      ZEROSPO</w:t>
        <w:br/>
        <w:t xml:space="preserve">      By: /s/ Xxxxxx Xxxxx</w:t>
        <w:br/>
        <w:t xml:space="preserve">  Name: Xxxxxx Xxxxx</w:t>
        <w:br/>
        <w:t xml:space="preserve">  Title: Chief Executive Officer</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