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SUPER LEAGUE GAMING, INC. NOTE PURCHASE AGREEMENT</w:t>
        <w:br/>
        <w:t xml:space="preserve">  This Note Purchase Agreement (this “Agreement”) is made as of , by and among Super League Gaming, Inc., a Delaware corporation (the “Company”), and the investors listed on Exhibit A attached to this Agreement (each a “Purchaser” and together the “Purchasers”).</w:t>
        <w:br/>
        <w:t xml:space="preserve">  The parties hereby agree as follows:</w:t>
        <w:br/>
        <w:t xml:space="preserve">  1. Purchase and Sale of 9% Secured Convertible Promissory Notes.</w:t>
        <w:br/>
        <w:t xml:space="preserve">  1.1             Sale and Issuance.</w:t>
        <w:br/>
        <w:t xml:space="preserve">  (a)             Subject to the terms and conditions of this Agreement, each Purchaser agrees, severally and not jointly, to purchase at the Closing (as defined below), and the Company agrees to sell and issue to such Purchaser at such Closing, a 9% Secured Convertible Promissory Note (the “Note”), in the original principal amount set forth opposite such Purchaser’s name on Exhibit A with respect to such Closing, and in the form attached hereto as Exhibit B, and a callable common stock purchase warrant in the form attached hereto as Exhibit C (the “Warrant”). The Notes issued to the Purchasers pursuant to this Agreement (including any Notes issued at the Initial Closing and any Additional Notes (as defined below) issued at Subsequent Closings (as defined below)) shall be referred to in this Agreement as the “Notes”. The Warrants issued to the Purchasers pursuant to this Agreement (including any Warrants issued at the Initial Closing and any Additional Warrants (as defined below) issued at Subsequent Closings) shall be referred to in this Agreement as the “Warrants”. The Notes and the Warrants shall be collectively referred to herein as the “Securities”. The Company is authorized to sell and issue up to ten million dollars ($10,000,000) of Notes pursuant to this Agreement, along with accepting the conversion of three million dollars ($3,000,000) of issued and outstanding secured convertible promissory notes of the Company, plus accrued interest thereon.</w:t>
        <w:br/>
        <w:t xml:space="preserve">   For the avoidance of doubt, the term “Purchaser” herein shall at all times include the pre- existing secured convertible noteholders of the Company that are converting their respective Notes into the Notes and Warrant issuable hereunder.</w:t>
        <w:br/>
        <w:t xml:space="preserve">  1.2             Closings; Delivery.</w:t>
        <w:br/>
        <w:t xml:space="preserve">  (a)             The purchase, sale and issuance of the Notes shall take place at one or more closings (each of which is referred to in this Agreement as a “Closing”). The initial Closing (the “Initial Closing”) shall take place remotely via the exchange of documents and signatures on the date hereof, or at such other time and place as the Company and the Purchasers mutually agree, either orally or in writing.</w:t>
        <w:br/>
        <w:t xml:space="preserve">  (b)             If less than all of the Notes are sold and issued at the Initial Closing, then the Company may sell and issue at one or more subsequent Closings (each a “Subsequent Closing”), on the same terms and conditions as those contained in this Agreement, up to the balance of the unissued Notes (the “Additional Notes”), and accompanying additional warrants (“Additional Warrants”) to one or more Persons (as defined below) as may be approved by the Company in its</w:t>
        <w:br/>
        <w:t xml:space="preserve">  -1-</w:t>
        <w:br/>
        <w:t xml:space="preserve">    sole discretion (the “Additional Purchasers”), provided that (i) such Subsequent Closing is consummated on or before May 31, 2018, and (ii) each Additional Purchaser shall become a party to, and bound by, each of the Transaction Agreements (as defined below), in each case as of the date of such Subsequent Closing, by executing and delivering a counterpart signature page to each of the Transaction Agreements. Exhibit A to this Agreement shall be updated to reflect each Additional Purchaser and the number of Additional Notes purchased, and Additional Warrants issued, or to be purchased, by each Additional Purchaser at each applicable Subsequent Closing, and each such Additional Purchaser shall be deemed a Purchaser for all purposes under this Agreement as of the date of such Subsequent Closing.</w:t>
        <w:br/>
        <w:t xml:space="preserve">  (c)             At each Closing, the Company shall deliver to each Purchaser participating in such Closing the following: (i) an executed Agreement; (ii) an executed Note in the form attached hereto as Exhibit B; (iii) an executed Warrant in the form attached hereto as Exhibit C; (iv) an executed Security Agreement in the form attached hereto as Exhibit D (the “Security Agreement”); (v) an executed Intercreditor and Collateral Agent Agreement in the form attached hereto as Exhibit E (the “Intercreditor Agreement”); (vi) an executed Investors Rights Agreement in the form attached hereto as Exhibit F (the “Investors Rights Agreement”) representing the Note being purchased by such Purchaser at such Closing against payment of the purchase price therefor by wire transfer to the following bank account designated by the Company:</w:t>
        <w:br/>
        <w:t xml:space="preserve">  Xxxxx Fargo Bank, N.A. 00000</w:t>
        <w:br/>
        <w:t>Xxx Xxxxxxx Xxxx. Xxx Xxxxxxx, XX 00000</w:t>
        <w:br/>
        <w:t>Routing Number: #########</w:t>
        <w:br/>
        <w:t xml:space="preserve">Account Number: ######### </w:t>
        <w:br/>
        <w:t>Account Name: Super League Gaming, Inc.</w:t>
        <w:br/>
        <w:t xml:space="preserve">  1.3             Use of Proceeds. In accordance with the directions of the Board (as defined below), the Company will use the proceeds from the sale of the Notes for Business expansion, merger and acquisitions, game licensing, and working capital. None of the proceeds will be used to reduce any indebtedness outstanding as of the date of this Agreement (other than regularly scheduled payments pursuant to agreements in effect as of the date hereof, if any) or to make any dividend or distributions to any stockholders or Affiliates of the Company.</w:t>
        <w:br/>
        <w:t xml:space="preserve">  1.4             Lock-Up Restriction. To preserve an orderly trading market following the close of the Company’s initial public offering (“IPO”), the Conversion Shares (as defined in the 9% Secured Convertible Promissory Note attached hereto as Exhibit B) and the Warrant Shares (as defined in the Callable Common Stock Purchase Warrant attached hereto as Exhibit C) (the Conversion Shares and the Warrant Shares are collectively referred to in this Section 1.4 as the “Lock-Up Shares”) shall have the following lock-up restriction (i.e., before sales can be made in open market transactions): (i) 20% of the Lock-Up Shares made available for resale in the Company’s Form 1-A filed with the Securities and Exchange Commission (“SEC”) will become freely tradeable on each of the 60-day, 90-day, 120-day, 150-day and 180-day anniversaries of the IPO closing; and (ii) 20% of the Lock-Up Shares registered in the Company’s registration statement on Form S-1 (“S-1”), to be filed within 45 days of the IPO closing with the SEC, will become freely tradeable on each of the 60-day, 90-day, 120-day, 150-day and 180- day anniversaries of the date the S-1 is declared effective by the SEC. All Lock-Up shares not included in the Company’s Form 1-A shall be included in the Form S-1.</w:t>
        <w:br/>
        <w:t xml:space="preserve">      -2-</w:t>
        <w:br/>
        <w:t xml:space="preserve">    1.5             Defined Terms Used in this Agreement. In addition to the terms defined elsewhere in this Agreement, the following terms used in this Agreement shall be construed to have the meanings set forth or referenced below.</w:t>
        <w:br/>
        <w:t xml:space="preserve">  (a)             “Affiliate” means, with respect to any specified Person, any other Person who, directly or indirectly, controls, is controlled by or is under common control with such Person, including, without limitation, any general partner, managing member, officer or director of such Person, or such Person’s principal, or any venture capital fund, financial investment firm or collective investment vehicle now or hereafter existing that is controlled by one or more general partners or managing members (or any affiliates thereof, which shall include any series or cell of a general partner or managing member that is structured as a series limited liability company) of, or shares the same management company with, such Person. For purposes of this definition, the terms “controlling,” “controlled by,” or “under common control with” shall mean the possession, directly or indirectly, of (i) the power to direct or cause the direction of the management and policies of a Person, whether through the ownership of voting securities, by contract, or otherwise, or (ii) the power to elect or appoint at least 50% of the directors, managers, general partners, or Persons exercising similar authority with respect to such Person. For the avoidance of doubt, an “Affiliate” of a specified Person shall include (x) such Person’s partners, members, stockholders, other equity owners, officers, directors, managers, former or retired partners, former or retired members, former or retired stockholders, former or retired other equity owners, and the estate of any of the foregoing and (y) a parent or subsidiary of a Person that is an entity</w:t>
        <w:br/>
        <w:t xml:space="preserve">  (b)             “Board” means the board of directors of the Company.</w:t>
        <w:br/>
        <w:t xml:space="preserve">  (c)             “Code” means the Internal Revenue Code of 1986, as amended.</w:t>
        <w:br/>
        <w:t xml:space="preserve">  (d)             “Company Covered Person” means, with respect to the Company as an “issuer” for purposes of Rule 506 promulgated under the Securities Act, any Person listed in the first paragraph of Rule 506(d)(1).</w:t>
        <w:br/>
        <w:t xml:space="preserve">  (e)             “Company Intellectual Property” means all patents, patent applications, trademarks, trademark applications, service marks, service xxxx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as are necessary to the Company in the conduct of the Company’s business as now conducted and as presently proposed to be conducted.</w:t>
        <w:br/>
        <w:t xml:space="preserve">  (f)             “Intercreditor and Collateral Agent Agreement” means the agreement among the Company and the Purchasers in the form of Exhibit E attached to this Agreement.</w:t>
        <w:br/>
        <w:t xml:space="preserve">  (g)             “Investors’ Rights Agreement” means the agreement among the Company and the Purchasers in the form of Exhibit F attached to this Agreement.</w:t>
        <w:br/>
        <w:t xml:space="preserve">      -3-</w:t>
        <w:br/>
        <w:t xml:space="preserve">    (h) “Key Employee” means any executive-level employee (including division director and vice president-level positions) as well as any employee or consultant who either alone or in concert with others develops, invents, programs or designs any Company Intellectual Property.</w:t>
        <w:br/>
        <w:t xml:space="preserve">  (i)             “Knowledge” including the phrase “to the Company’s knowledge” shall mean the actual knowledge, after reasonable investigation, of Xxx Xxxx and Xxxxx Xxxxxxxxxxx.</w:t>
        <w:br/>
        <w:t xml:space="preserve">  (j)             “Material Adverse Effect” means a material adverse effect on the business, assets (including intangible assets), liabilities, financial condition, property, prospects, or results of operations of the Company.</w:t>
        <w:br/>
        <w:t xml:space="preserve">  (k)             “Person” means any individual, corporation, partnership, trust, limited liability company, association or other entity.</w:t>
        <w:br/>
        <w:t xml:space="preserve">    (l)             “Securities Act” means the Securities Act of 1933, as amended, and the rules and regulations promulgated thereunder.</w:t>
        <w:br/>
        <w:t xml:space="preserve">  (m)             “Security Agreement” means the agreement among the Company and the Purchasers in the form of Exhibit D attached to this Agreement.</w:t>
        <w:br/>
        <w:t xml:space="preserve">  (n)             “Transaction Agreements” means this Agreement, the Note, the Warrant, the Security Agreement, the Intercreditor Agreement, the Collateral Agent Agreement, and the Investors’ Rights Agreement.</w:t>
        <w:br/>
        <w:t xml:space="preserve">  2. Representations and Warranties of the Company. A Disclosure Schedule, attached as Exhibit G to this Agreement (each a “Disclosure Schedule”), shall be delivered to the Purchasers in connection with each Closing. Except as set forth on the Disclosure Schedule delivered to the Purchasers at the applicable Closing, which exceptions shall be deemed to be part of the representations and warranties made hereunder, the Company hereby represents and warrants to the Purchasers that the following representations are true and complete. The Disclosure Schedule shall be arranged in sections corresponding to the numbered and lettered sections contained in this Section 2, and the disclosures in any section of the Disclosure Schedule shall qualify other sections in this Section 2 only to the extent it is readily apparent from a reading of the disclosure that such disclosure is applicable to such other sections.</w:t>
        <w:br/>
        <w:t xml:space="preserve">  2.1             Organization, Good Standing, Corporate Power and Qualification. The Company is a corporation duly organized, validly existing and in good standing under the laws of the State of Delaware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 The Company’s good standing certificate with the State of Delaware dated February 16, 2018 is included herewith as Schedule 2.1.</w:t>
        <w:br/>
        <w:t xml:space="preserve">    -4-</w:t>
        <w:br/>
        <w:t xml:space="preserve">    2.2 Capitalization.</w:t>
        <w:br/>
        <w:t xml:space="preserve">  (a)             The authorized capital of the Company consists, immediately prior to the Initial Closing, of 50,000,000 shares of Common Stock, $0.001 par value. Immediately prior to the Initial Closing, there are 13,810,487 shares of Common Stock issued and outstanding. In additional there are three million dollars ($3.000,000.00) of outstanding secured convertible promissory notes that are converting into the Securities. All of the outstanding shares of Common Stock have been duly authorized, are fully paid and nonassessable and were issued in compliance with all applicable federal and state securities laws. The Company holds no Common Stock in its treasury.</w:t>
        <w:br/>
        <w:t xml:space="preserve">  (b)             The Company has reserved 4,500,000 shares of Common Stock for issuance to officers, directors, employees, consultants and other service providers of the Company pursuant to its 2014 Stock Option and Incentive Plan (the “2014 Plan”), duly adopted by the Board and approved by the Company stockholders. Of such reserved shares of Common Stock under the 2014 Plan, (i) zero shares have been issued pursuant to restricted stock purchase agreements, options to purchase 3,743,820 shares of common stock have been granted and are currently outstanding, 70,000 shares have been issued pursuant to stock option exercises, and 686,180 shares of Common Stock remain available for issuance to officers, directors, employees, consultants and other service providers of the Company pursuant to the 2014 Plan. The Company has furnished to the Purchasers complete and accurate copies of the 2014 Plan and forms of agreements used thereunder.</w:t>
        <w:br/>
        <w:t xml:space="preserve">  (c)             Section 2.2(c) of the Disclosure Schedule sets forth the capitalization of the Company immediately prior to the Initial 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Plans; and (iv) warrants or other rights to purchase any of the Company’s authorized and unissued capital stock. Except for (A) the rights provided in Section 4 of the Investors’ Rights Agreement, and (B) the securities and rights described in Section 2.2 of this Agreement and Section 2.2(c) of the Disclosure Schedule, there are no outstanding options, warrants, rights (including conversion or preemptive rights and rights of first refusal or similar rights) or agreements, orally or in writing, to purchase or acquire from the Company any shares of Common Stock, or any securities convertible into or exchangeable for shares of Common Stock.</w:t>
        <w:br/>
        <w:t xml:space="preserve">  (d)             The Company has never adjusted or amended the exercise price of any stock options previously awarded, whether through amendment, cancellation, replacement grant, repricing, or any other means.</w:t>
        <w:br/>
        <w:t xml:space="preserve">  2.3             Subsidiaries. The Company does not currently own or control, directly or indirectly, any interest in any other corporation, partnership, trust, limited liability company, association, or other business entity. The Company is not a participant in any partnership or similar arrangement, other than license agreements with third parties in the ordinary course and scope of the Company’s business.</w:t>
        <w:br/>
        <w:t xml:space="preserve">  2.4             Authorization. All corporate action required to be taken by the Board and stockholders in order to authorize the Company to enter into the Transaction Agreements, and to issue</w:t>
        <w:br/>
        <w:t xml:space="preserve">    -5-</w:t>
        <w:br/>
        <w:t xml:space="preserve">    the Notes at each Closing, has been taken or will be taken prior to the Initial Closing. All action on the part of the officers of the Company necessary for the execution and delivery of the Transaction Agreements, the performance of all obligations of the Company under the Transaction Agreements to be performed as of the Closing has been taken or will be taken prior to such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the indemnification provisions contained in the Investors’ Rights Agreement may be limited by applicable federal or state securities laws.</w:t>
        <w:br/>
        <w:t xml:space="preserve">  2.5             Valid Issuance of Securities.</w:t>
        <w:br/>
        <w:t xml:space="preserve">  (a)             The Securities,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Section 3 of this Agreement and subject to the filings described in Section 2.6 below, the Securities will be issued in compliance with all applicable federal and state securities laws.</w:t>
        <w:br/>
        <w:t xml:space="preserve">  (b)             No “bad actor” disqualifying event described in Rule 506(d)(1)(i)-(viii) of the Securities Act (a “Disqualification Event”) is applicable to the Company or, to the Company’s knowledge, any Company Covered Person, except for a Disqualification Event as to which Rule 506(d)(2)(ii–iv) or (d)(3), is applicable. The Company has exercised reasonable care, in accordance with SEC rules and guidance, to determine whether any Company Covered Person is subject to any Disqualification Event. The Company has complied, to the extent applicable, with any disclosure obligations under Rule 506(e) under the Securities Act.</w:t>
        <w:br/>
        <w:t xml:space="preserve">  2.6             Governmental Consents and Filings. Assuming the accuracy of the representations made by the Purchasers in Section 3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filings pursuant to Regulation D of the Securities Act, and applicable state securities laws, which will be made in a timely manner; and (ii) the filing of a financing statement on Form UCC-1 with the California Secretary of State on behalf of the Purchasers.</w:t>
        <w:br/>
        <w:t xml:space="preserve">  2.7             Litigation. There is no claim, action, suit, proceeding, arbitration, complaint, charge or investigation pending or, to the Company’s knowledge, currently threatened (i) against the Company or any officer, director or Key Employee of the Company; or (ii) that questions the validity of the Transaction Agreements or the right of the Company to enter into them, or to consummate the transactions contemplated by the Transaction Agreements; or (iii) to the Company’s knowledge, that would reasonably be expected to have, either individually or in the aggregate, a Material Adverse Effect. Neither the Company nor, to the Company’s knowledge, any of its officers, directors or Key</w:t>
        <w:br/>
        <w:t xml:space="preserve">      -6-</w:t>
        <w:br/>
        <w:t xml:space="preserve">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br/>
        <w:t xml:space="preserve">  2.8             Intellectual Property. The Company owns or possesses sufficient legal rights to all Company Intellectual Property without (i) any conflict with, or infringement of, the rights of others, other than the rights of third parties in, to and under third-party patents and patent applications (“Third-Party Patent Rights”), and (ii) to the knowledge of the Company, any conflict with, or infringement of, any Third-Party Patent Rights. No product or service marketed or sold (or proposed to be marketed or sold) by the Company violates or will violate any license or infringes or will infringe (x) any intellectual property rights of any other party other than Third-Party Patent Rights and (y) to the knowledge of the Company, any Third-Party Patent Rights.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is not aware of any violation by a third party of any Company Intellectual Property, and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business as now conducted and as presently proposed to be conducted. Section 2.8 of the Disclosure Schedule lists all Company patents, patent applications, trademarks, trademark applications, service marks, service xxxx applications, tradenames, domain names, copyrights, and licenses to and under any of the foregoing. 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xxx.xxxxxxxxxx.xxx) (collectively “Open Source Software”) in, or in connection with, any of its products or services that are generally available or in development in any manner that would materially restrict the ability of the Company to protect its proprietary interests in any such product or service or in any manner that would (i) require, or purport to require, any Company Intellectual Property (other than the Open Source Software itself) to be disclosed or distributed in source code form, or to be licensed for the</w:t>
        <w:br/>
        <w:t xml:space="preserve">      -7-</w:t>
        <w:br/>
        <w:t xml:space="preserve">    purpose of making derivative works; (ii) restrict, or purport to restrict, the consideration that could be charged for the distribution or use of any Company Intellectual Property, or otherwise limit, or purport to limit, the use of any Company Intellectual Property for commercial purposes; (iii) create, or purport to create, any obligation on the Company with respect to any Company Intellectual Property owned by the Company, or otherwise grant, or purport to grant, to any third party any rights in or to, or immunities under, Company Intellectual Property owned by the Company; or (iv) impose, or purport to impose, any other limitation, restriction or condition on the right of the Company with respect to its use or distribution of any Company Intellectual Property. For purposes of this Section 2.8, the Company shall be deemed to have knowledge of a patent right if the Company has actual knowledge of the patent right or would be found to be on notice of such patent right as determined by reference to United States patent laws.</w:t>
        <w:br/>
        <w:t xml:space="preserve">  2.9             Compliance with Other Instruments. The Company is not in violation or default (i) of any provisions of its Amended &amp; Restated Certificate of Incorporation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 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br/>
        <w:t xml:space="preserve">  2.10             Agreements; Actions.</w:t>
        <w:br/>
        <w:t xml:space="preserve">  (a)             Except for the Transaction Agreements, issued and outstanding employment agreements with executives of the Company, the existing real property lease agreement for the Company’s headquarters located at 0000 Xxxxxxxx Xxx., Xxxxx Xxxxxx, XX 00000, there are no agreements, understandings, instruments, contracts or proposed transactions to which the Company is a party or by which it is bound that involve (i) obligations (contingent or otherwise) of, or payments to, the Company in excess of $100,000, or (ii) the grant of rights to manufacture, produce, assemble, license, market, or sell its products to any other Person that limit the Company’s exclusive right to develop, manufacture, assemble, distribute, market or sell its products.</w:t>
        <w:br/>
        <w:t xml:space="preserve">  (b)             The Company has not (i) declared or paid any dividends or authorized or made any distribution upon or with respect to any class or series of its capital stock, or (ii) sold, exchanged or otherwise disposed of any of its assets or rights, other than the sale of its inventory in the ordinary course of business.</w:t>
        <w:br/>
        <w:t xml:space="preserve">  (c)             The Company is not a guarantor or indemnitor of any indebtedness of any other Person.</w:t>
        <w:br/>
        <w:t xml:space="preserve">      -8-</w:t>
        <w:br/>
        <w:t xml:space="preserve">    2.11 Certain Transactions.</w:t>
        <w:br/>
        <w:t xml:space="preserve">  (a)             Other than (i) standard employee benefits generally made available to all employees, (ii) executive employment agreements for Xxx Xxxx and Xxxxx Xxxxxxxxxxx, (iii) standard director and officer indemnification agreements approved by the Board, and (iv) the purchase of shares of the Company’s capital stock and the issuance of options and warrants to purchase shares of the Company’s Common Stock, in each instance, approved in the written minutes of the Board, there are no agreements, understandings or proposed transactions between the Company and any of its officers, directors, consultants or Key Employees, or any Affiliate thereof.</w:t>
        <w:br/>
        <w:t xml:space="preserve">  (b)             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or employees or stockholders of the Company may own stock in (but not exceeding two percent (2%) of the outstanding capital stock of) publicly traded companies that may compete with the Company or (iii) financial interest in any material contract with the Company.</w:t>
        <w:br/>
        <w:t xml:space="preserve">  2.12             Rights of Registration and Voting Rights. Except as provided in the Investors’ Rights Agreement, and in Section 2.12 of the Disclosure Schedule, the Company is not under any obligation to register under the Securities Act any of its currently outstanding securities or any securities issuable upon exercise or conversion of its currently outstanding securities. To the Company’s knowledge, no stockholder of the Company has entered into any agreements with respect to the voting of capital shares of the Company.</w:t>
        <w:br/>
        <w:t xml:space="preserve">  2.13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 xml:space="preserve">  2.14             Financial Statements. The Company has delivered to each Purchaser its audited financial statements for the fiscal years ended December 31, 2015 and December 31, 2016 and its unaudited financial statements (including balance sheet, income statement and statement of stockholders’ equity) for the fiscal year ended December 31, 2017 (collectively, the “Financial Statements”). The Financial Statements have been prepared in accordance with generally accepted</w:t>
        <w:br/>
        <w:t xml:space="preserve">    -9-</w:t>
        <w:br/>
        <w:t xml:space="preserve">    accounting principles (“GAAP”) applied on a consistent basis throughout the periods indicated, except that the Financial Statements may not contain all footnotes required by GAAP. The Financial Statements fairly present in all material respects the financial condition and operating results of the Company as of the dates, and for the periods, indicated therein, subject to normal year-end audit adjustments. Except as set forth in the Financial Statements, the Company has no material liabilities or obligations, contingent or otherwise, other than (i) liabilities incurred in the ordinary course of business subsequent to December 31, 2017;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br/>
        <w:t xml:space="preserve">  2.15             Changes. Since December 31, 2017, there has not been:</w:t>
        <w:br/>
        <w:t xml:space="preserve">  (a)             any change in the assets, liabilities, financial condition or operating results of the Company, except changes in the ordinary course of business that have not caused, in the aggregate, a Material Adverse Effect;</w:t>
        <w:br/>
        <w:t xml:space="preserve">  (b)             any damage, destruction or loss, whether or not covered by insurance, that would have a Material Adverse Effect;</w:t>
        <w:br/>
        <w:t xml:space="preserve">  (c)             any waiver or compromise by the Company of a valuable right or of a material debt owed to it;</w:t>
        <w:br/>
        <w:t xml:space="preserve">  (d)             any satisfaction or discharge of any lien, claim, or encumbrance or payment of any obligation by the Company, except in the ordinary course of business and the satisfaction or discharge of which would not have a Material Adverse Effect;</w:t>
        <w:br/>
        <w:t xml:space="preserve">  (e)             any material change to a material contract or agreement by which the Company or any of its assets is bound or subject;</w:t>
        <w:br/>
        <w:t xml:space="preserve">  (f)             any material change in any compensation arrangement or agreement with any employee, officer, director or stockholder;</w:t>
        <w:br/>
        <w:t xml:space="preserve">  (g)             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br/>
        <w:t xml:space="preserve">  (h)             any loans or guarantees made by the Company to or for the benefit of its employees, officers or directors, or any members of their immediate families, other than travel advances and other advances made in the ordinary course of its business;</w:t>
        <w:br/>
        <w:t xml:space="preserve">  (i)             any declaration, setting aside or payment or other distribution in respect of any of the Company’s capital stock, or any direct or indirect redemption, purchase, or other acquisition of any of such stock by the Company;</w:t>
        <w:br/>
        <w:t xml:space="preserve">      -10-</w:t>
        <w:br/>
        <w:t xml:space="preserve">    (j) any sale, assignment or transfer of any Company Intellectual Property that could reasonably be expected to result in a Material Adverse Effect;</w:t>
        <w:br/>
        <w:t xml:space="preserve">  (k)             receipt of notice that there has been a loss of, or material order cancellation by, any major customer of the Company;</w:t>
        <w:br/>
        <w:t xml:space="preserve">  (l)             to the Company’s knowledge, any other event or condition of any character, other than events affecting the economy or the Company’s industry generally, that could reasonably be expected to result in a Material Adverse Effect; or</w:t>
        <w:br/>
        <w:t xml:space="preserve">  (m)             any arrangement or commitment by the Company to do any of the things described in this Subsection 2.15.</w:t>
        <w:br/>
        <w:t xml:space="preserve">  2.16             Employee Matters.</w:t>
        <w:br/>
        <w:t xml:space="preserve">  (a)             As of the April 1, 2018, the Company employs 41 full-time employees and has five (5) consultants or independent contractors.</w:t>
        <w:br/>
        <w:t xml:space="preserve">  (b)             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br/>
        <w:t xml:space="preserve">  (c)             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br/>
        <w:t xml:space="preserve">  (d)             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other than executives who have employment agreements with the Company.</w:t>
        <w:br/>
        <w:t xml:space="preserve">      -11-</w:t>
        <w:br/>
        <w:t xml:space="preserve">    (e) The Company has not made any representations regarding equity incentives to any officer, employee, director or consultant that are inconsistent with the share amounts and terms set forth in the minutes of meetings of the Board.</w:t>
        <w:br/>
        <w:t xml:space="preserve">  (f)             Each former Key Employee whose employment was terminated by the Company has entered into an agreement with the Company providing for the full release of any claims against the Company or any related party arising out of such employment.</w:t>
        <w:br/>
        <w:t xml:space="preserve">  (g)             Section 2.166(g) of the Disclosure Schedule sets forth each employee benefit plan maintained, established or sponsored by the Company, or which the Company participates in or contributes to, which is subject to the Employee Retirement Income Security Act of 1974, as amended (“ERISA”).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br/>
        <w:t xml:space="preserve">  (h)             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br/>
        <w:t xml:space="preserve">  (i)             None of the Key Employees or officers or directors of the Company has been (i) subject to voluntary or involuntary petition under the federal bankruptcy laws or any state insolvency law or the appointment of a receiver, fiscal agent or similar officer by a court for his business or property; (ii) 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br/>
        <w:t xml:space="preserve">  2.17             Tax Returns and Payments. There are no federal, state, county, local or foreign taxes due and payable by the Company which have not been timely paid, excluding approximately $40,000 of state and local taxes relating to ticket sales from prior periods.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br/>
        <w:t xml:space="preserve">      -12-</w:t>
        <w:br/>
        <w:t xml:space="preserve">    2.18 Insurance. The Company has in full force and effect fire and casualty insurance policies with extended coverage, sufficient in amount (subject to reasonable deductions) to allow it to replace any of its properties that might be damaged or destroyed.</w:t>
        <w:br/>
        <w:t xml:space="preserve">  2.19             Employee Agreements. Each current and former employee, consultant and officer of the Company has executed an agreement with the Company regarding confidentiality and proprietary information (collectively, the “Confidential Information Agreements”). No current or former Key Employee has excluded works or inventions from his or her assignment of inventions pursuant to such Key Employee’s Confidential Information Agreement. Each current and former Key Employee has executed a non-solicitation agreement. The Company is not aware that any of its Key Employees is in violation of any agreement covered by this Section 2.199.</w:t>
        <w:br/>
        <w:t xml:space="preserve">  2.20             Permits.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br/>
        <w:t xml:space="preserve">  2.21             Corporate Documents.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br/>
        <w:t xml:space="preserve">  2.22             Environmental and Safety Laws. (a) The Company is and has been in compliance with all Environmental Laws; (b) there has been no release or threatened release of any pollutant, contaminant or toxic or hazardous material, substance or waste or petroleum or any fraction thereof (each a “Hazardous Substance”),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(“PCBs”)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br/>
        <w:t xml:space="preserve">  For purposes of this Section 2.22, “Environmental Laws”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br/>
        <w:t xml:space="preserve">  2.23             Qualified Small Business Stock. As of and immediately following each Closing: (i) the Company will be an eligible corporation as defined in Section 1202(e)(4) of the Code, (ii) the Company will not have made purchases of its own stock described in Code Section</w:t>
        <w:br/>
        <w:t xml:space="preserve">      -13-</w:t>
        <w:br/>
        <w:t xml:space="preserve">    1202(c)(3)(B) during the one-year period preceding the Initial Closing, except for purchases that are disregarded for such purposes under Treasury Regulation Section 1.1202-2 and (iii) the Company’s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provided, however,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grossly negligent or fraudulent.</w:t>
        <w:br/>
        <w:t xml:space="preserve">  2.24             Data Privacy.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“Personal Information”), the Company is and has been in compliance with all 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The Company is and has been in compliance in all material respects with all laws relating to data loss, theft and breach of security notification obligations.</w:t>
        <w:br/>
        <w:t xml:space="preserve">  2.25             Disclosure. The Company has made available to the Purchasers all the information reasonably available to the Company that the Purchasers have requested for deciding whether to acquire the Notes, including certain of the Company’s projections describing its proposed business plan (the “Business Plan”). No representation or warranty of the Company contained in this Agreement, as qualified by the Disclosure Schedule, and no certificate furnished or to be furnished to Purchasers at any Closing contains any untrue statement of a material fact or, to the Company’s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br/>
        <w:t xml:space="preserve">  3. Representations and Warranties of the Purchasers. Each Purchaser hereby represents and warrants to the Company, severally and not jointly, that:</w:t>
        <w:br/>
        <w:t xml:space="preserve">  3.1             Authorization.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w:t>
        <w:br/>
        <w:t xml:space="preserve">        -14-</w:t>
        <w:br/>
        <w:t xml:space="preserve">    availability of specific performance, injunctive relief or other equitable remedies, or (b) to the extent the indemnification provisions contained in the Investors’ Rights Agreement may be limited by applicable federal or state securities laws.</w:t>
        <w:br/>
        <w:t xml:space="preserve">  3.2             Purchase Entirely for Own Account. This Agreement is made with the Purchaser in reliance upon the Purchaser’s representation to the Company, which by the Purchaser’s execution of this Agreement, the Purchaser hereby confirms, that the Notes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in violation of applicable securities laws. By executing this Agreement, the Purchaser further represents that the Purchaser does not presently have any contract, undertaking, agreement or arrangement with any Person to sell, transfer or grant participations to such Person or to any third Person, with respect to any of the Notes. The Purchaser has not been formed for the specific purpose of acquiring the Notes.</w:t>
        <w:br/>
        <w:t xml:space="preserve">  3.3             Disclosure of Information. The Purchaser has had an opportunity to discuss the Company’s business, management, financial affairs and the terms and conditions of the offering of the Notes with the Company’s management and has had an opportunity to review the Company’s facilities. The foregoing, however, does not limit or modify the representations and warranties of the Company in Section 2 of this Agreement or the right of the Purchasers to rely thereon.</w:t>
        <w:br/>
        <w:t>3.4             Restricted Securities. The Purchaser understands that the Securities, and the shares of common stock issuable upon conversion and exercise of the Notes and Warrants, respectively,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Notes are “restricted securities” under applicable U.S. federal and state securities laws and that, pursuant to these laws, the Purchaser must hold the Securities, and the shares of common stock issuable upon conversion and exercise of the Notes and Warrants, respectively, must be held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Notes, Warrants or the shares of common stock issuable upon conversion of the Notes and Warrants, respectively,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of common stock issuable upon the conversion and exercise of the Notes and Warrants, respectively, and on requirements relating to the Company which are outside of the Purchaser’s control, and which the Company is under no obligation and may not be able to satisfy.</w:t>
        <w:br/>
        <w:t xml:space="preserve">  3.5             No Public Market. The Purchaser understands that no public market now exists for the Securities, and that the Company has made no assurances that a public market will ever exist for the Securities, or the shares of common stock issuable upon conversion and exercise of the Notes and Warrants, respectively.</w:t>
        <w:br/>
        <w:t xml:space="preserve">      -15-</w:t>
        <w:br/>
        <w:t xml:space="preserve">    3.6 Legends. The Purchaser understands that the Securities, and any securities issued in respect of or exchange for the Securities, may be notated with a legend similar to the following:</w:t>
        <w:br/>
        <w:t xml:space="preserve">  “THE SHARES REPRESENTED HEREBY HAVE NOT BEEN REGISTERED UNDER THE SECURITIES ACT OF 1933, AS AMENDED,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 AS AMENDED.”</w:t>
        <w:br/>
        <w:t xml:space="preserve">  (a)  Any legend set forth in, or required by, the other Transaction Agreements.</w:t>
        <w:br/>
        <w:t xml:space="preserve">  (b)  Any legend required by the securities laws of any state to the extent such laws are applicable to the Securities represented by the certificate, instrument, or book entry so legended.</w:t>
        <w:br/>
        <w:t xml:space="preserve">  3.7             Accredited Investor. The Purchaser is an accredited investor as defined in Rule 501(a) of Regulation D promulgated under the Securities Act.</w:t>
        <w:br/>
        <w:t xml:space="preserve">  3.8             No General Solicitation.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Notes.</w:t>
        <w:br/>
        <w:t xml:space="preserve">  3.9             Exculpation Among Purchasers.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Notes.</w:t>
        <w:br/>
        <w:t xml:space="preserve">  3.10             Residence. If the Purchaser is an individual, then the Purchaser resides in the state or province identified in the address of the Purchaser set forth on Exhibit A; if the Purchaser is a partnership, corporation, limited liability company or other entity, then the office or offices of the Purchaser in which its principal place of business is identified in the address or addresses of the Purchaser set forth on Exhibit A.</w:t>
        <w:br/>
        <w:t xml:space="preserve">    4. Conditions to the Purchasers’ Obligations at Closing. The obligations of each Purchaser to purchase Notes at any Closing are subject to the fulfillment, on or before such Closing, of each of the following conditions, unless otherwise waived by such Purchaser:</w:t>
        <w:br/>
        <w:t xml:space="preserve">  4.1             Representations and Warranties.</w:t>
        <w:br/>
        <w:t xml:space="preserve">      -16-</w:t>
        <w:br/>
        <w:t xml:space="preserve">    (a) With respect to the Initial Closing, except as set forth in or modified by the Disclosure Schedule delivered to the Purchasers at the Initial Closing, the representations and warranties of the Company contained in Section 2 shall be true and correct in all respects as of the date of the Initial Closing.</w:t>
        <w:br/>
        <w:t xml:space="preserve">  (b)             With respect to any Subsequent Closing, except as set forth in or modified by the Disclosure Schedule delivered to the Purchasers at the Initial Closing (or, if necessary, an updated version of the Disclosure Schedule delivered to the Purchasers participating in such Subsequent Closing along with the certificate described in Section 4.3(b)), the representations and warranties made by the Company in Section 2 shall be true and correct in all material respects (without giving effect to any limitation as to “materiality” or Material Adverse Effect set forth therein) on and as of the date of such Subsequent Closing as though such representations and warranties were made on and as of such date (other than those representations and warranties of the Company contained in Section 2 made as of a specified date or made only with respect to a specified period of time, which need only be true and correct in all material respects (without giving effect to any limitation as to “materiality” or Material Adverse Effect set forth therein) as of such specified date or with respect to such specified period of time).</w:t>
        <w:br/>
        <w:t xml:space="preserve">  4.2             Performance. The Company shall have performed and complied with all covenants, agreements, obligations and conditions contained in this Agreement that are required to be performed or complied with by the Company on or before such Closing.</w:t>
        <w:br/>
        <w:t xml:space="preserve">  4.3             Compliance Certificate.</w:t>
        <w:br/>
        <w:t xml:space="preserve">  (a)             With respect to the Initial Closing, the President of the Company shall deliver to the Purchasers participating in the Initial Closing a certificate certifying that the conditions specified in Sections 4.1(a) and 4.2 have been fulfilled.</w:t>
        <w:br/>
        <w:t xml:space="preserve">  (b)             With respect to any Subsequent Closing, the President of the Company shall deliver to the Purchasers participating in such Subsequent Closing a certificate certifying that the conditions specified in Sections 4.1(b) and 4.2 have been fulfilled.</w:t>
        <w:br/>
        <w:t xml:space="preserve">  4.4             Qualifications. All authorizations, approvals or permits, if any, of any governmental authority or regulatory body of the United States or of any state that are required in connection with the lawful issuance and sale of the Notes pursuant to this Agreement shall be obtained and effective as of such Closing.</w:t>
        <w:br/>
        <w:t xml:space="preserve">  4.5             Board of Directors. As of the Initial Closing, the authorized size of the Board shall be six (6), and the Board shall be comprised of Xxx Xxxx, Xxxxx Xxxxxxxxxxx, Xxxx Xxxx, Xxxxxx Xxxxxxx, Xxxx Xxxxxx and Xxxx Xxxxxxx.</w:t>
        <w:br/>
        <w:t xml:space="preserve">    4.6              Investors’ Rights Agreement. The Company and each Purchaser shall have executed and delivered the Investors’ Rights Agreement.</w:t>
        <w:br/>
        <w:t xml:space="preserve">  4.7              Secretary’s Certificate. The Secretary of the Company shall have delivered to the Purchasers at the Initial Closing a certificate certifying (i) the Bylaws of the Company, and (ii)</w:t>
        <w:br/>
        <w:t xml:space="preserve">    -17-</w:t>
        <w:br/>
        <w:t xml:space="preserve">    resolutions of the Board approving the Transaction Agreements and the transactions contemplated under the Transaction Agreements.</w:t>
        <w:br/>
        <w:t xml:space="preserve">  4.8             Proceedings and Documents. All corporate and other proceedings in connection with the transactions contemplated at such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br/>
        <w:t xml:space="preserve">  5.   Conditions of the Company’s Obligations at Closing. The obligations of the Company to sell Notes to the Purchasers at any Closing are subject to the fulfillment, on or before such Closing, of each of the following conditions, unless otherwise waived:</w:t>
        <w:br/>
        <w:t xml:space="preserve">  5.1             Representations and Warranties. The representations and warranties of each Purchaser contained in Section 3 shall be true and correct in all respects as of such Closing.</w:t>
        <w:br/>
        <w:t xml:space="preserve">  5.2             Performance. The Purchasers shall have performed and complied with all covenants, agreements, obligations and conditions contained in this Agreement that are required to be performed or complied with by them on or before such Closing.</w:t>
        <w:br/>
        <w:t xml:space="preserve">  5.3             Qualifications. All authorizations, approvals or permits, if any, of any governmental authority or regulatory body of the United States or of any state that are required in connection with the lawful issuance and sale of the Notes pursuant to this Agreement shall be obtained and effective as of such Closing.</w:t>
        <w:br/>
        <w:t xml:space="preserve">  5.4              Investors’ Rights Agreement. Each Purchaser shall have executed and delivered the Investors’ Rights Agreement.</w:t>
        <w:br/>
        <w:t xml:space="preserve">  6.  Miscellaneous. </w:t>
        <w:br/>
        <w:t xml:space="preserve">  6.1             Survival of Warranties. Unless otherwise set forth in this Agreement, the representations and warranties of the Company and the Purchasers contained in or made pursuant to this Agreement shall survive the execution and delivery of this Agreement and each Closing and shall in no way be affected by any investigation or knowledge of the subject matter thereof made by or on behalf of the Purchasers or the Company.</w:t>
        <w:br/>
        <w:t xml:space="preserve">  6.2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6.3             Governing Law. This Agreement shall be governed by and construed under the internal laws of the State of Delaware, irrespective of conflict of law principles.</w:t>
        <w:br/>
        <w:t xml:space="preserve">  6.4             Counterparts. This Agreement may be executed and delivered via (i) the DocuSign digital signature service, or (ii) by facsimile signature and in two (2) or more counterparts,</w:t>
        <w:br/>
        <w:t xml:space="preserve">      -18-</w:t>
        <w:br/>
        <w:t xml:space="preserve">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6.5             Titles and Subtitles. The titles and subtitles used in this Agreement are used for convenience only and are not to be considered in construing or interpreting this Agreement.</w:t>
        <w:br/>
        <w:t xml:space="preserve">  6.6             Notices.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Exhibit A, or to such e-mail address, facsimile number or address as subsequently modified by written notice given in accordance with this Section 6.6. If notice is given to the Company, a copy shall also be sent to Xxx Xxxx, President &amp; CEO, Super League Gaming, Inc., 0000 Xxxxxxxx Xxx., Xxxxx Xxxxxx, XX 00000, xxx.xxxx@xxxxxxxxxxx.xxx.</w:t>
        <w:br/>
        <w:t xml:space="preserve">  6.7              Attorneys’ Fees.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br/>
        <w:t xml:space="preserve">  6.8             Amendments and Waivers. Any term of this Agreement may be amended, terminated or waived only with the written consent of the Company and (a) the holders of at least a majority of the then-outstanding Notes or (b) for an amendment, termination or waiver effected prior to the Initial Closing, Purchasers obligated to purchase at least a majority of the Notes to be issued at the Initial Closing. Notwithstanding the foregoing, Purchasers purchasing Additional Notes in a Subsequent Closing may become parties to this Agreement in accordance with Section 1.2(b) without any amendment of this Agreement pursuant to this paragraph or any consent or approval of any other Purchaser (other than any consent or approval explicitly required pursuant to Section 1.2(b)). Any amendment or waiver effected in accordance with this Section 6.8 shall be binding upon each Purchaser and each transferee of the Notes, each future holder of the Notes, and the Company.</w:t>
        <w:br/>
        <w:t xml:space="preserve">  6.9             Severability. The invalidity or unenforceability of any provision hereof shall in no way affect the validity or enforceability of any other provision.</w:t>
        <w:br/>
        <w:t xml:space="preserve">  6.10             Delays or Omissions. No delay or omission to exercise any right, power or remedy accruing to any party under this Agreement, upon any breach or default of any other party under this Agreement, shall impair any such right, power or remedy of such non-breaching or non- 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w:t>
        <w:br/>
        <w:t xml:space="preserve">      -19-</w:t>
        <w:br/>
        <w:t xml:space="preserv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6.11             Entire Agreement. This Agreement (including the Exhibits hereto),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w:t>
        <w:br/>
        <w:t xml:space="preserve">  6.12             Corporate Securities Law.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br/>
        <w:t>6.13             Dispute Resolution. The parties (a) hereby irrevocably and unconditionally submit to the jurisdiction of the federal and state courts located in Los Angeles County, California for the purpose of any suit, action or other proceeding arising out of or based upon this Agreement, (b) agree not to commence any suit, action or other proceeding arising out of or based upon this Agreement except in the federal and state courts located in Los Angeles County, California,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-20-</w:t>
        <w:br/>
        <w:t xml:space="preserve">    6.14 No Commitment for Additional Financing. The Company acknowledges and agrees that no Purchaser has made any representation, undertaking, commitment or agreement to provide or assist the Company in obtaining any financing, investment or other assistance, other than the purchase of the Notes as set forth herein and subject to the conditions set forth herein. In addition, the Company acknowledges and agrees that (a) no statements, whether written or oral, made by any Purchaser or its representatives on or after the date of this Agreement shall create an obligation, commitment or agreement to provide or assist the Company in obtaining any financing or investment, (b) the Company shall not rely on any such statement by any Purchaser or its representatives, and (c)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w:t>
        <w:br/>
        <w:t xml:space="preserve">  [Signature Pages Follow]</w:t>
        <w:br/>
        <w:t xml:space="preserve">  -21-</w:t>
        <w:br/>
        <w:t xml:space="preserve">    IN WITNESS WHEREOF, the parties have executed this Note Purchase Agreement as of the date first written above.</w:t>
        <w:br/>
        <w:t xml:space="preserve">        COMPANY:</w:t>
        <w:br/>
        <w:t xml:space="preserve">      SUPER LEAGUE GAMING, INC.</w:t>
        <w:br/>
        <w:t xml:space="preserve">    By:  Xxx Xxxx</w:t>
        <w:br/>
        <w:t>Chief Executive Officer &amp; President</w:t>
        <w:br/>
        <w:t xml:space="preserve">  Address:                  </w:t>
        <w:br/>
        <w:t>0000 Xxxxxxxx Xxx.</w:t>
        <w:br/>
        <w:t xml:space="preserve">  Xxxxx Xxxxxx, XX 00000</w:t>
        <w:br/>
        <w:t xml:space="preserve">      SIGNATURE PAGE TO NOTE PURCHASE AGREEMENT SUPER LEAGUE GAMING, INC.</w:t>
        <w:br/>
        <w:t>-22-</w:t>
        <w:br/>
        <w:t xml:space="preserve">  -23-</w:t>
        <w:br/>
        <w:t xml:space="preserve">    IN WITNESS WHEREOF, the Purchaser has executed this Note Purchase Agreement as of the date first written above.</w:t>
        <w:br/>
        <w:t xml:space="preserve">      PURCHASER:</w:t>
        <w:br/>
        <w:t xml:space="preserve">      [Name of Entity if applicable]</w:t>
        <w:br/>
        <w:t xml:space="preserve">            By:                                                                        </w:t>
        <w:br/>
        <w:t xml:space="preserve">  Name: </w:t>
        <w:br/>
        <w:t>Title:</w:t>
        <w:br/>
        <w:t xml:space="preserve">      SIGNATURE PAGE TO NOTE PURCHASE AGREEMENT SUPER LEAGUE GAMING, INC.</w:t>
        <w:br/>
        <w:t xml:space="preserve">  -24-</w:t>
        <w:br/>
        <w:t xml:space="preserve">    EXHIBIT A SCHEDULE OF PURCHASERS</w:t>
        <w:br/>
        <w:t xml:space="preserve">            Name and Address of Purchaser</w:t>
        <w:br/>
        <w:t>Original Principal</w:t>
        <w:br/>
        <w:t>Amount of Note</w:t>
        <w:br/>
        <w:t>No. of Shares of Common Stock</w:t>
        <w:br/>
        <w:t>Underlying Common Stock</w:t>
        <w:br/>
        <w:t>Purchase Warrant</w:t>
        <w:br/>
        <w:t xml:space="preserve">        $                              </w:t>
        <w:br/>
        <w:t>Equal to one hundred percent (100.0%) of the investment amount in the Notes exercisable at the lesser of (a) $3.60 per share, or (b) a fifteen percent (15.0%) discount to the price per share (“Exercise Price”) of the Company’s initial public offering (“IPO”). For the avoidance of doubt, the actual number of shares of common stock shall be set upon the final determination of the IPO price per share.</w:t>
        <w:br/>
        <w:t xml:space="preserve">          EXHIBIT A TO NOTE PURCHASE AGREEMENT SUPER LEAGUE GAMING, INC.</w:t>
        <w:br/>
        <w:t xml:space="preserve">      EXHIBIT B</w:t>
        <w:br/>
        <w:t xml:space="preserve">  FORM OF 9% SECURED CONVERTIBLE PROMISSORY NOTE</w:t>
        <w:br/>
        <w:t xml:space="preserve">      EXHIBIT B TO NOTE PURCHASE AGREEMENT SUPER LEAGUE GAMING, INC.</w:t>
        <w:br/>
        <w:t xml:space="preserve">      EXHIBIT C</w:t>
        <w:br/>
        <w:t xml:space="preserve">  FORM OF CALLABLE COMMON STOCK PURCHASE WARRANT</w:t>
        <w:br/>
        <w:t xml:space="preserve">      EXHIBIT C TO NOTE PURCHASE AGREEMENT SUPER LEAGUE GAMING, INC.</w:t>
        <w:br/>
        <w:t xml:space="preserve">      EXHIBIT D</w:t>
        <w:br/>
        <w:t xml:space="preserve">  FORM OF SECURITY AGREEMENT</w:t>
        <w:br/>
        <w:t xml:space="preserve">      EXHIBIT D TO NOTE PURCHASE AGREEMENT SUPER LEAGUE GAMING, INC.</w:t>
        <w:br/>
        <w:t xml:space="preserve">      EXHIBIT E</w:t>
        <w:br/>
        <w:t xml:space="preserve">  FORM OF INTERCREDITOR AND COLLATERAL AGENT AGREEMENT</w:t>
        <w:br/>
        <w:t xml:space="preserve">      EXHIBIT E TO NOTE PURCHASE AGREEMENT SUPER LEAGUE GAMING, INC.</w:t>
        <w:br/>
        <w:t xml:space="preserve">      EXHIBIT F</w:t>
        <w:br/>
        <w:t xml:space="preserve">  FORM OF INVESTORS’ RIGHTS AGREEMENT</w:t>
        <w:br/>
        <w:t xml:space="preserve">      EXHIBIT F TO NOTE PURCHASE AGREEMENT SUPER LEAGUE GAMING, INC.</w:t>
        <w:br/>
        <w:t xml:space="preserve">      EXHIBIT G</w:t>
        <w:br/>
        <w:t xml:space="preserve">  DISCLOSURE SCHEDULE</w:t>
        <w:br/>
        <w:t xml:space="preserve">  This Disclosure Schedule is made and given pursuant to Section 2 of the Common Stock Purchase Agreement, dated as of April 24, 2018 (the “Agreement”), between Super League Gaming, Inc. (the “Company”) and the Purchasers listed on Exhibit A thereto. All capitalized terms used but not defined herein shall have the meanings as defined in the Agreement, unless otherwise provided. The section numbers below correspond to the section numbers of the representations and warranties in the Agreement; provided, however,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Purchasers or their respective counsel.</w:t>
        <w:br/>
        <w:t xml:space="preserve">      EXHIBIT G TO NOTE PURCHASE AGREEMENT SUPER LEAGUE GAMING, INC.</w:t>
        <w:br/>
        <w:t xml:space="preserve">      SECTION 2.1</w:t>
        <w:br/>
        <w:t xml:space="preserve">  Good Standing Certificate</w:t>
        <w:br/>
        <w:t xml:space="preserve">      EXHIBIT G TO NOTE PURCHASE AGREEMENT SUPER LEAGUE GAMING, INC.</w:t>
        <w:br/>
        <w:t xml:space="preserve">      Delaware</w:t>
        <w:br/>
        <w:t xml:space="preserve">  The FirstState</w:t>
        <w:br/>
        <w:t xml:space="preserve">           I, XXXXXXX X. XXXXXXX, SECRETARY OF STATE OF THE STATE OF</w:t>
        <w:br/>
        <w:t xml:space="preserve">  DELAWARE, DO HEREBY CERTIFY "SUPER LEAGUE GAMING, INC." IS DULY</w:t>
        <w:br/>
        <w:t xml:space="preserve">  INCORPORTED UNDER THE LAWS OF THE STATE OF DELAWARE AND IS IN GOOD</w:t>
        <w:br/>
        <w:t xml:space="preserve">  STANDING AND HAS A LEGAL CORPORATE EXISTENCE SO FAR AS THE RECORDS</w:t>
        <w:br/>
        <w:t xml:space="preserve">  OF THIS OFFICE SHOW AS OF THE SIXTEENTH DAY OF FEBRUARY, A.D.</w:t>
        <w:br/>
        <w:t xml:space="preserve">  2018.</w:t>
        <w:br/>
        <w:t xml:space="preserve">         AND I DO HEREBY FURTHER CERTIFY THAT THE ANNUAL REPORTS HAVE</w:t>
        <w:br/>
        <w:t xml:space="preserve">  BEEN FILED TO DATE.</w:t>
        <w:br/>
        <w:t xml:space="preserve">         AND I HEREBY FURTHER CERTIFY THAT SAID "SUPER LEAGUES GAMING INC" WAS INCORPORATED ON THE FIRST DAY OF OCTOBER, A.D.</w:t>
        <w:br/>
        <w:t xml:space="preserve">  2014.</w:t>
        <w:br/>
        <w:t xml:space="preserve">         AND I HEREBY FURTHER CERTIFY THAT THE FRANCHISE TAXES HAVE</w:t>
        <w:br/>
        <w:t xml:space="preserve">      BEEN PAID TO XX.xx. </w:t>
        <w:br/>
        <w:t xml:space="preserve">          56137 41 8300</w:t>
        <w:br/>
        <w:t xml:space="preserve">  SR# 2013] 061122</w:t>
        <w:br/>
        <w:t xml:space="preserve">  You m ay \'erify t his c ert ificate o nline at cm p .dela;.x.xx,e .g□'o'/ </w:t>
        <w:br/>
        <w:t xml:space="preserve">        Authentication: 202168294</w:t>
        <w:br/>
        <w:t xml:space="preserve">  Date: 02-16-18</w:t>
        <w:br/>
        <w:t xml:space="preserve">      SECTION 2.2(c)</w:t>
        <w:br/>
        <w:t xml:space="preserve">  Capitalization</w:t>
        <w:br/>
        <w:t xml:space="preserve">  As of the close of business on April 24, 2018, and immediately prior to the commencement to this Offering, the following represents all issued and outstanding securities of the Company:</w:t>
        <w:br/>
        <w:t xml:space="preserve">    FULLY-DILUTED SUMMATION</w:t>
        <w:br/>
        <w:t>Amount</w:t>
        <w:br/>
        <w:t>Percentage</w:t>
        <w:br/>
        <w:t>COMMON STOCK</w:t>
        <w:br/>
        <w:t>13,810,487</w:t>
        <w:br/>
        <w:t>68.38%</w:t>
        <w:br/>
        <w:t>OPTIONS (1)</w:t>
        <w:br/>
        <w:t>3,743,820</w:t>
        <w:br/>
        <w:t>18.54%</w:t>
        <w:br/>
        <w:t>RESTRICTED STOCK UNITS</w:t>
        <w:br/>
        <w:t>25,000</w:t>
        <w:br/>
        <w:t>0.12%</w:t>
        <w:br/>
        <w:t>WARRANTS (2)</w:t>
        <w:br/>
        <w:t xml:space="preserve">  2,617,489</w:t>
        <w:br/>
        <w:t>12.96%</w:t>
        <w:br/>
        <w:t>TOTAL OUTSTANDING F-D (3)</w:t>
        <w:br/>
        <w:t>20,196,796</w:t>
        <w:br/>
        <w:t>100.00%</w:t>
        <w:br/>
        <w:t xml:space="preserve">      (1)   Weighted average exercise price of $2.92 per share; $11,008,852 total exercise value based on 3,763,820 options outstanding.</w:t>
        <w:br/>
        <w:t>(2)   Weighted average exercise price of $2.98 per share; $7,813,162 total exercise value based on 2,617,489 warrants outstanding.</w:t>
        <w:br/>
        <w:t>(3)   Excludes the conversion of $3,000,000 of 9% Secured Convertible Promissory Notes into shares of common stock that were placed by the Company in February and March 2018. The foregoing is being converted into this financing round on identical terms.</w:t>
        <w:br/>
        <w:t xml:space="preserve">      EXHIBIT G TO NOTE PURCHASE AGREEMENT SUPER LEAGUE GAMING, INC.</w:t>
        <w:br/>
        <w:t xml:space="preserve">      SECTION 2.8</w:t>
        <w:br/>
        <w:t xml:space="preserve">  Patents &amp; Trademarks</w:t>
        <w:br/>
        <w:t xml:space="preserve">    Patents Pending</w:t>
        <w:br/>
        <w:t>Matter Name/Description</w:t>
        <w:br/>
        <w:t xml:space="preserve">  Status</w:t>
        <w:br/>
        <w:t>Application No.</w:t>
        <w:br/>
        <w:t xml:space="preserve"> Filing Date</w:t>
        <w:br/>
        <w:t xml:space="preserve">  Priority Claim</w:t>
        <w:br/>
        <w:t xml:space="preserve">  Inventors</w:t>
        <w:br/>
        <w:t xml:space="preserve">  001WO (PCT –</w:t>
        <w:br/>
        <w:t>International)</w:t>
        <w:br/>
        <w:t xml:space="preserve">  Game System – Generating Game Projection Views</w:t>
        <w:br/>
        <w:t xml:space="preserve">  PENDING:</w:t>
        <w:br/>
        <w:t>1.       Entered National Phase in the U.S. with 001C1 &amp; 001C2</w:t>
        <w:br/>
        <w:t>2.       Case Expires May 5, 2017</w:t>
        <w:br/>
        <w:t xml:space="preserve">    PCT/US2015/0 29532</w:t>
        <w:br/>
        <w:t xml:space="preserve">  05/06/2015</w:t>
        <w:br/>
        <w:t xml:space="preserve">  001PR</w:t>
        <w:br/>
        <w:t>(Provisional) filed 11/5/14</w:t>
        <w:br/>
        <w:t xml:space="preserve">  1. Xxxx Xxxxxx</w:t>
        <w:br/>
        <w:t xml:space="preserve">  2. Xxxxx Xxxxxxxxxxx</w:t>
        <w:br/>
        <w:t xml:space="preserve">  001C1 (U.S. Non-</w:t>
        <w:br/>
        <w:t>Provisional)</w:t>
        <w:br/>
        <w:t xml:space="preserve">  Multi-User Game System with Trigger- Based Generation of Projection View</w:t>
        <w:br/>
        <w:t xml:space="preserve">  PENDING</w:t>
        <w:br/>
        <w:t xml:space="preserve">  1. Filed with Prioritized Examination Request</w:t>
        <w:br/>
        <w:t>2. Awaiting Examination by Patent Office</w:t>
        <w:br/>
        <w:t xml:space="preserve">    15/179,868</w:t>
        <w:br/>
        <w:t xml:space="preserve">  06/10/2016</w:t>
        <w:br/>
        <w:t xml:space="preserve">  Continuation of 001WO</w:t>
        <w:br/>
        <w:t xml:space="preserve">  1. Xxxx Xxxxxx</w:t>
        <w:br/>
        <w:t xml:space="preserve">  2. Xxxxx Xxxxxxxxxxx</w:t>
        <w:br/>
        <w:t xml:space="preserve">  001C2 (U.S. Non-</w:t>
        <w:br/>
        <w:t>Provisional)</w:t>
        <w:br/>
        <w:t xml:space="preserve">  Multi-User Game System with Character-Based Generation of Projection View</w:t>
        <w:br/>
        <w:t xml:space="preserve">  PENDING</w:t>
        <w:br/>
        <w:t xml:space="preserve">  1. Filed with Prioritized Examination Request</w:t>
        <w:br/>
        <w:t>2. Awaiting Examination by Patent Office</w:t>
        <w:br/>
        <w:t xml:space="preserve">    15/179,878</w:t>
        <w:br/>
        <w:t xml:space="preserve">  06/10/2016</w:t>
        <w:br/>
        <w:t xml:space="preserve">  Continuation of 001WO</w:t>
        <w:br/>
        <w:t xml:space="preserve">  1. Xxxx Xxxxxx</w:t>
        <w:br/>
        <w:t xml:space="preserve">  2. Xxxxx Xxxxxxxxxxx</w:t>
        <w:br/>
        <w:t xml:space="preserve">  Registered Trademarks:</w:t>
        <w:br/>
        <w:t xml:space="preserve">  1. SLG (Stylized) </w:t>
        <w:br/>
        <w:t xml:space="preserve">  a. Registered with USPTO </w:t>
        <w:br/>
        <w:t xml:space="preserve">  i. International Class 9 – Serial No. 86725324</w:t>
        <w:br/>
        <w:t xml:space="preserve">  ii. International Class 28 – Serial No. 86725331</w:t>
        <w:br/>
        <w:t xml:space="preserve">  iii. International Class 41 – Serial No. 86725326</w:t>
        <w:br/>
        <w:t xml:space="preserve">  2. Super League Gaming (Stylized)</w:t>
        <w:br/>
        <w:t xml:space="preserve">  a. Registered with European Registration Community Xxxx No. 14945976</w:t>
        <w:br/>
        <w:t xml:space="preserve">  3. Super League Gaming (logo)</w:t>
        <w:br/>
        <w:t xml:space="preserve">  a. Registered with European Registration Community Xxxx No. 14945976</w:t>
        <w:br/>
        <w:t xml:space="preserve">    EXHIBIT G TO NOTE PURCHASE AGREEMENT SUPER LEAGUE GAMING, INC.</w:t>
        <w:br/>
        <w:t xml:space="preserve">      4. Pending Trademarks – SLG City Teams</w:t>
        <w:br/>
        <w:t xml:space="preserve">  a. Los Angeles Shockwaves – stylized and with design; design only</w:t>
        <w:br/>
        <w:t xml:space="preserve">  i. International Classes 9, 25, 28, and 41</w:t>
        <w:br/>
        <w:t xml:space="preserve">  b. Dallas Dynamite - stylized and with design; design only</w:t>
        <w:br/>
        <w:t xml:space="preserve">  i. International Classes 9, 25, 28, and 41</w:t>
        <w:br/>
        <w:t xml:space="preserve">  c. Miami Menace - stylized and with design; design only</w:t>
        <w:br/>
        <w:t xml:space="preserve">  i. International Classes 9, 25, 28, and 41</w:t>
        <w:br/>
        <w:t xml:space="preserve">  d. Chicago Force - stylized and with design; design only</w:t>
        <w:br/>
        <w:t xml:space="preserve">  i. International Classes 9, 25, 28, and 41</w:t>
        <w:br/>
        <w:t xml:space="preserve">  e. Boston Revolt - stylized and with design; design only</w:t>
        <w:br/>
        <w:t xml:space="preserve">  i. International Classes 9, 25, 28, and 41</w:t>
        <w:br/>
        <w:t xml:space="preserve">  f. Denver Drakes - stylized and with design; design only</w:t>
        <w:br/>
        <w:t xml:space="preserve">  i. International Classes 9, 25, 28, and 41</w:t>
        <w:br/>
        <w:t xml:space="preserve">  x. Xxxxxxx Blast - stylized and with design; design only</w:t>
        <w:br/>
        <w:t xml:space="preserve">  i. International Classes 9, 25, 28, and 41</w:t>
        <w:br/>
        <w:t xml:space="preserve">  h. Las Vegas Wildcards - stylized and with design; design only</w:t>
        <w:br/>
        <w:t xml:space="preserve">  i. International Classes 9, 25, 28, and 41</w:t>
        <w:br/>
        <w:t xml:space="preserve">  i. New York Fury - stylized and with design; design only</w:t>
        <w:br/>
        <w:t xml:space="preserve">  i. International Classes 9, 25, 28, and 41</w:t>
        <w:br/>
        <w:t xml:space="preserve">  j. Phoenix Blaze - stylized and with design; design only</w:t>
        <w:br/>
        <w:t xml:space="preserve">  i. International Classes 9, 25, 28, and 41</w:t>
        <w:br/>
        <w:t xml:space="preserve">  k. Seattle Siege - stylized and with design; design only</w:t>
        <w:br/>
        <w:t xml:space="preserve">  i. International Classes 9, 25, 28, and 41</w:t>
        <w:br/>
        <w:t xml:space="preserve">  l. San Francisco Ionics - stylized and with design; design only</w:t>
        <w:br/>
        <w:t xml:space="preserve">  i. International Classes 9, 25, 28, and 41</w:t>
        <w:br/>
        <w:t xml:space="preserve">  EXHIBIT G TO NOTE PURCHASE AGREEMENT SUPER LEAGUE GAMING, INC.</w:t>
        <w:br/>
        <w:t xml:space="preserve">      m. Virtual Storm - stylized and with design; design only</w:t>
        <w:br/>
        <w:t xml:space="preserve">  i. International Classes 9, 25, 28, and 41</w:t>
        <w:br/>
        <w:t xml:space="preserve">  n. Beijing Brawler - - stylized and with design; design only</w:t>
        <w:br/>
        <w:t xml:space="preserve">  i. International Classes 9, 25, 28, and 41</w:t>
        <w:br/>
        <w:t xml:space="preserve">  o. Shanghai Roaring Tigers - stylized and with design; design only</w:t>
        <w:br/>
        <w:t xml:space="preserve">  i. International Classes 9, 25, 28, and 41</w:t>
        <w:br/>
        <w:t xml:space="preserve">    EXHIBIT G TO NOTE PURCHASE AGREEMENT SUPER LEAGUE GAMING, INC.</w:t>
        <w:br/>
        <w:t xml:space="preserve">      SECTION 2.12</w:t>
        <w:br/>
        <w:t xml:space="preserve">  Registration Rights</w:t>
        <w:br/>
        <w:t xml:space="preserve">    1. The investors in the Company’s Series A, B and C common stock rounds hold unlimited piggyback registration rights, and in the case of Series B and C round investors such parties hold demand rights subject to certain restrictions.</w:t>
        <w:br/>
        <w:t xml:space="preserve">      EXHIBIT G TO NOTE PURCHASE AGREEMENT SUPER LEAGUE GAMING, INC.</w:t>
        <w:br/>
        <w:t xml:space="preserve">      SECTION 2.16(g)</w:t>
        <w:br/>
        <w:t xml:space="preserve">  Employee Benefit Plan</w:t>
        <w:br/>
        <w:t xml:space="preserve">    None.</w:t>
        <w:br/>
        <w:t xml:space="preserve">      EXHIBIT G TO NOTE PURCHASE AGREEMENT SUPER LEAGUE GAMING,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