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 xml:space="preserve">  OPERATING AGREEMENT</w:t>
        <w:br/>
        <w:t xml:space="preserve">  OF</w:t>
        <w:br/>
        <w:t xml:space="preserve">  FUNDRISE GROWTH eREIT VII, LLC</w:t>
        <w:br/>
        <w:t xml:space="preserve">  Dated as of January 5, 2021 </w:t>
        <w:br/>
        <w:t xml:space="preserve">        Table of Contents</w:t>
        <w:br/>
        <w:t xml:space="preserve">  Article I DEFINITIONS 3</w:t>
        <w:br/>
        <w:t>Article II ORGANIZATION 8</w:t>
        <w:br/>
        <w:t>Article III MEMBERS AND SHARES 10</w:t>
        <w:br/>
        <w:t>Article IV DISTRIBUTIONS AND REDEMPTIONS 14</w:t>
        <w:br/>
        <w:t>Article V MANAGEMENT AND OPERATION OF BUSINESS 16</w:t>
        <w:br/>
        <w:t>Article VI BOOKS, RECORDS, ACCOUNTING AND REPORTS 27</w:t>
        <w:br/>
        <w:t>Article VII TAX MATTERS 28</w:t>
        <w:br/>
        <w:t>Article VIII  DISSOLUTION, TERMINATION AND LIQUIDATION 28</w:t>
        <w:br/>
        <w:t>Article IX AMENDMENT OF AGREEMENT 30</w:t>
        <w:br/>
        <w:t>Article X MERGER, CONSOLIDATION OR CONVERSION 32</w:t>
        <w:br/>
        <w:t>Article XI MEMBERS’ VOTING POWERS AND MEETING 34</w:t>
        <w:br/>
        <w:t>Article XII GENERAL PROVISIONS 35</w:t>
        <w:br/>
        <w:t>Article XIII  RESTRICTIONS ON TRANSFER AND OWNERSHIP OF SHARES 38</w:t>
        <w:br/>
        <w:t xml:space="preserve">        This AMENDED AND RESTATED OPERATING AGREEMENT OF FUNDRISE GROWTH eREIT VII, LLC is dated as of January 5, 2021. Capitalized terms used herein without definition shall have the respective meanings ascribed thereto in Section 1.1 or Section 13.1.</w:t>
        <w:br/>
        <w:t xml:space="preserve">  WHEREAS, the Company was originally formed as Fundrise Growth eREIT VII, LLC under the Delaware Act pursuant to that certain Certificate of Formation of Limited Liability Company filed with the Secretary of State of the State of Delaware on January 28, 2020 (the “Certificate of Formation”);</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Fundrise Growth eREIT VII,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3</w:t>
        <w:br/>
        <w:t xml:space="preserve">    “Commission” means the United States Securities and Exchange Commission.</w:t>
        <w:br/>
        <w:t xml:space="preserve">  “Common Shares” means any Shares of the Company that are not Preferred Shares.</w:t>
        <w:br/>
        <w:t xml:space="preserve">   “Company” means Fundrise Growth eREIT VII, LLC, a Delaware limited liability company, and any successors thereto.</w:t>
        <w:br/>
        <w:t xml:space="preserve">  “Conflict of Interest” means:</w:t>
        <w:br/>
        <w:t xml:space="preserve">  (i)                  any matter that the Manager believes may involve a conflict of interest that is not otherwise addressed by the Company’s conflicts of interest policy; or</w:t>
        <w:br/>
        <w:t xml:space="preserve">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means the period from the date hereof until June 30, 2021. </w:t>
        <w:br/>
        <w:t xml:space="preserve">  “First NAV Reporting Date” means March 31, 2021.</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“Gross Receipts” means unit rents, furniture or equipment rental, parking, forfeited security deposits applied to rental payments, late charges, judgments or awards (net of litigation costs) collected in the enforcement of any lease, income from coin-operated machines, proceeds from rental interruption insurance, application fees, and other miscellaneous income collected at the property, but excludes all other receipts, including but not limited to, security deposits (other than forfeited deposits applied to rent), interest earned on property accounts, proceeds of claims on account of insurance policies (other than rental interruption insurance), abatement of taxes, and awards arising out of takings by eminent domain, discounts and dividends on insurance policies and bonus payments by service providers for installation of services or equipment (such as cable television or laundry machines).</w:t>
        <w:br/>
        <w:t xml:space="preserve">  “Indemnified Person” means:</w:t>
        <w:br/>
        <w:t xml:space="preserve">  (a)                 any Person who is or was an officer of the Company, if any;</w:t>
        <w:br/>
        <w:t xml:space="preserve">  (b)                 the Manager, together with its officers, directors, members and managers;</w:t>
        <w:br/>
        <w:t xml:space="preserve">  4</w:t>
        <w:br/>
        <w:t xml:space="preserve">    (c)                 the Sponsor, together with its officers, directors, shareholders and Affiliates;</w:t>
        <w:br/>
        <w:t xml:space="preserve">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 </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the First NAV Reporting Date. Thereafter, the Market Price will be adjusted every semi-annual period, or such other period as determined by the Manager in its sole discretion, but no less frequently than annually, and, as of March 31st and September 30th of each year (or as soon as commercially reasonable and announced by us thereafter), will equal:</w:t>
        <w:br/>
        <w:t xml:space="preserve">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 </w:t>
        <w:br/>
        <w:t xml:space="preserve">  “Non-Compliant Tender Offer” has the meaning assigned to such term in Section 3.9.</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024-11162) filed by the Company with the Commission on December 10, 2020, and the offering circular filed pursuant to Rule 253(g)(2) of the Securities Act on January 5, 2020,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5</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w:t>
        <w:br/>
        <w:t xml:space="preserve">  (a)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(i) the right to share profits or losses or items thereof;</w:t>
        <w:br/>
        <w:t xml:space="preserve">    (ii) the right to share in distributions; or</w:t>
        <w:br/>
        <w:t xml:space="preserve">    (iii)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6</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“Tendered Shares” has the meaning assigned to such term in Section 3.9.</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7</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Growth eREIT VII,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 </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 Xxxxxx Xxxxxx XX, 0xx XX, Xxxxxxxxxx, X.X. 20036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8</w:t>
        <w:br/>
        <w:t xml:space="preserve">    (ii)                 all certificates, documents and other instruments that the Manager or the Liquidator determines to be necessary or appropriate to reflect, in accordance with its terms, any amendment, change, modification or restatement of this Agreement; </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(i)                  make, evidence, give, confirm or ratify any vote, consent, approval, agreement or other action that is made or given by the Members hereunder or is consistent with the terms of this Agreement; or</w:t>
        <w:br/>
        <w:t xml:space="preserve">  (ii)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9</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10</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1,000 Common Shares of the Company at $10.00 per share in a private placement on a date no later than ten (10) days after the first subscriptions are accepted in the Initial Offering.</w:t>
        <w:br/>
        <w:t xml:space="preserve">  11</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 </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 </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Fundrise Advisors, LLC, or one of its Affiliates, remains the Manager of the Company; and</w:t>
        <w:br/>
        <w:t xml:space="preserve">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 </w:t>
        <w:br/>
        <w:t xml:space="preserve">  13</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14</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 </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 </w:t>
        <w:br/>
        <w:t xml:space="preserve">  15</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this Agreement, the Manager shall enter into that certain Fee Waiver Support Agreement that provides that, subject to the terms and conditions contained therein and for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16</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 </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 </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17</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 </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18</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19</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20</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21</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22</w:t>
        <w:br/>
        <w:t xml:space="preserve">    Section 5.5.         Duties of the Manager and its Officers and Directors.</w:t>
        <w:br/>
        <w:t xml:space="preserve">  (a)                 Except as otherwise expressly provided in this Agreement or required by the Delaware Act:</w:t>
        <w:br/>
        <w:t xml:space="preserve">  (i)                 the duties and obligations owed to the Company by the Manager and its officers and directors shall be the same as the duties and obligations owed to a corporation organized under DGCL by its officers and directors, respectively; and</w:t>
        <w:br/>
        <w:t xml:space="preserve">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23</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and Other Compensation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the First NAV Reporting Date,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  </w:t>
        <w:br/>
        <w:t xml:space="preserve">  (c)                Acquisition / Origination Fees. Co-investors, joint-venture, borrower or property-holding entity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the Company’s behalf in connection with the liquidation of equity investments in real estate, and the Company will pay up to 1.5% of the gross proceeds from such sale if the Manager is acting as the real estate developer or is engaged by the developer to sell the project. Whether to liquidate an equity investment in real estate is in the sole discretion of the Manager.</w:t>
        <w:br/>
        <w:t xml:space="preserve">  (e)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Manager may, in its sole discretion, waive the development management fee, in whole or in part. The Manager will forfeit any portion of the development management fee that is waived.</w:t>
        <w:br/>
        <w:t xml:space="preserve">  24</w:t>
        <w:br/>
        <w:t xml:space="preserve">    (f)                 Property Management Fees. For each real estate investment for which the Manager is acting as the property manager, a property management fee of four percent (4%) of Gross Receipts for the then current calendar month; however, the Company does not intend to charge such property management fee unless it is net of the fees being charged by another property manager of such asset of the project. Our Manager may, in its sole discretion, waive its property management fee, in whole or in part. The Manager will forfeit any portion of the property management fee that is waived.</w:t>
        <w:br/>
        <w:t xml:space="preserve">  (g)                 Other Services. Affiliates of the Manager retained for services relating to Company investments or operations may receive fees paid by the Company for such services, which shall be at or below market rates and will not reduce the amount of other fees payable to the Manager or its Affiliates pursuant to this Section 5.10. These services may include accounting and audit services (including valuation support services), account management services, corporate secretarial services, data management services, directorship services, information technology services, finance/budget services, human resources, judicial processes, legal services, operational services, risk management services, tax services, treasury services, loan management services, construction management services, property management services, leasing services, transaction support services, transaction consulting services and other similar operational matters.</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charges and out-of-pocket costs and expenses incurred by the Manager or its Affiliate that are related to the operations of the Company, including, without limitation, those related to:</w:t>
        <w:br/>
        <w:t xml:space="preserve">  (i)                    forming and operating Subsidiaries;</w:t>
        <w:br/>
        <w:t xml:space="preserve">  (ii)                   the investigation of investment opportunities, whether or not consummated, and whether incurred before or after the formation of the Company;</w:t>
        <w:br/>
        <w:t xml:space="preserve">  (iii)                  the acquisition, ownership, management, financing, hedging of interest rates on financings, or sale of investments;</w:t>
        <w:br/>
        <w:t xml:space="preserve">  (iv)                  meetings with or reporting to Members;</w:t>
        <w:br/>
        <w:t xml:space="preserve">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w:t>
        <w:br/>
        <w:t xml:space="preserve">  (vi)                  the Company’s indemnification of the Indemnified Parties pursuant to this Agreement;</w:t>
        <w:br/>
        <w:t xml:space="preserve">  25</w:t>
        <w:br/>
        <w:t xml:space="preserve">    (vii)                 litigation;</w:t>
        <w:br/>
        <w:t xml:space="preserve">  (viii)                borrowings of the Company;</w:t>
        <w:br/>
        <w:t xml:space="preserve">  (ix)                   liquidating the Company;</w:t>
        <w:br/>
        <w:t xml:space="preserve">  (x)                    any taxes, fees or other governmental charges levied against the Company and all expenses incurred in connection with any tax audit, investigation, settlement or review of the Company;</w:t>
        <w:br/>
        <w:t xml:space="preserve">   (xi)                  travel costs associated with investigating and evaluating investment opportunities (whether or not consummated) or making, monitoring, managing or disposing of investments; and</w:t>
        <w:br/>
        <w:t xml:space="preserve">  (xii)                  the costs of any Affiliates or third parties retained to provide services to Company.</w:t>
        <w:br/>
        <w:t xml:space="preserve">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w:t>
        <w:br/>
        <w:t xml:space="preserve">  (A)                 ordinary and usual office overhead expenses of the Manager or any of its Affiliates (including rent, etc.);</w:t>
        <w:br/>
        <w:t xml:space="preserve">  (B)                 salaries or other compensation of the employees of the Manager or any of its Affiliate; or</w:t>
        <w:br/>
        <w:t xml:space="preserve">  (C)                 expenses of the Manager’s or any of its Affiliate’s registration as an investment adviser or other compliance with the U.S. Investment Advisers Act of 1940, as amended, or any corresponding state law.</w:t>
        <w:br/>
        <w:t xml:space="preserve">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Semi-Annual Determination of Net Asset Value. At the end of each semi-annual period, or such other period as determined by the Manager in its sole discretion, but no less frequently than annually, beginning on the First NAV Reporting Date, the Sponsor’s internal accountants and asset management team will calculate the Company’s NAV per share using a process that reflects</w:t>
        <w:br/>
        <w:t xml:space="preserve">  (1)                 estimated values of each of commercial real estate assets and investments, as determined by such asset management team, including related liabilities, based upon</w:t>
        <w:br/>
        <w:t xml:space="preserve">  (a)                market capitalization rates, comparable sales information, interest rates, net operating income;</w:t>
        <w:br/>
        <w:t xml:space="preserve">  (b)               with respect to debt, default rates, discount rates and loss severity rates;</w:t>
        <w:br/>
        <w:t xml:space="preserve">  (c)                for properties that have development or value add plans, progress along such development or value add plan; and</w:t>
        <w:br/>
        <w:t xml:space="preserve">  26</w:t>
        <w:br/>
        <w:t xml:space="preserve">    (d)                 in certain instances reports of the underlying real estate provided by an independent valuation expert;</w:t>
        <w:br/>
        <w:t xml:space="preserve">  (2)                 the price of liquid assets for which third party market quotes are available;</w:t>
        <w:br/>
        <w:t xml:space="preserve">  (3)                 accruals of periodic distributions; and</w:t>
        <w:br/>
        <w:t xml:space="preserve">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27</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 </w:t>
        <w:br/>
        <w:t xml:space="preserve">  In the case of a dissolution of the Company:</w:t>
        <w:br/>
        <w:t xml:space="preserve">  (i)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28</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29</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 </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30</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w:t>
        <w:br/>
        <w:t xml:space="preserve">  (l)                 an amendment to the definition of “Market Price” set forth in this Agreement; and</w:t>
        <w:br/>
        <w:t xml:space="preserve">  (m)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31</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 </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32</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33</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 </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34</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35</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Washington D.C.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Fundrise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36</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37</w:t>
        <w:br/>
        <w:t xml:space="preserve">    Section 12.14.     Waiver of Court&amp;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38</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39</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 </w:t>
        <w:br/>
        <w:t xml:space="preserve">  (ii)            </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40</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41</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42</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 </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Fundrise Growth eREIT VII,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43</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44</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 </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45</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 xml:space="preserve">    Title: Chief Executive Officer</w:t>
        <w:br/>
        <w:t xml:space="preserve">        INITIAL MEMBER:</w:t>
        <w:br/>
        <w:t xml:space="preserve">      RISE COMPANIES CORP.</w:t>
        <w:br/>
        <w:t xml:space="preserve">        By:   /s/ Xxxxxxxx X. Xxxxxx</w:t>
        <w:br/>
        <w:t xml:space="preserve">    Name: Xxxxxxxx X. Xxxxxx</w:t>
        <w:br/>
        <w:t xml:space="preserve">    Title: Chief Executive Officer</w:t>
        <w:br/>
        <w:t xml:space="preserve">  [Signature Page to Amended and Restated Operating Agreement of Fundrise Growth eREIT VII,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