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 xml:space="preserve">  OPERATING AGREEMENT</w:t>
        <w:br/>
        <w:t xml:space="preserve">  OF</w:t>
        <w:br/>
        <w:t xml:space="preserve">  FUNDRISE GROWTH eREIT III, LLC</w:t>
        <w:br/>
        <w:t xml:space="preserve">  Dated as of February 13, 2019</w:t>
        <w:br/>
        <w:t xml:space="preserve">        Table of Contents</w:t>
        <w:br/>
        <w:t xml:space="preserve">  Article I DEFINITIONS      3</w:t>
        <w:br/>
        <w:t>Article II ORGANIZATION      7</w:t>
        <w:br/>
        <w:t>Article III MEMBERS AND SHARES      9</w:t>
        <w:br/>
        <w:t>Article IV DISTRIBUTIONS AND REDEMPTIONS      12</w:t>
        <w:br/>
        <w:t>Article V MANAGEMENT AND OPERATION OF BUSINESS      14</w:t>
        <w:br/>
        <w:t>Article VI BOOKS, RECORDS, ACCOUNTING AND REPORTS      23</w:t>
        <w:br/>
        <w:t>Article VII TAX MATTERS      24</w:t>
        <w:br/>
        <w:t>Article VIII DISSOLUTION, TERMINATION AND LIQUIDATION      24</w:t>
        <w:br/>
        <w:t>Article IX AMENDMENT OF AGREEMENT      26</w:t>
        <w:br/>
        <w:t>Article X MERGER, CONSOLIDATION OR CONVERSION      27</w:t>
        <w:br/>
        <w:t>Article XI MEMBERS’ VOTING POWERS AND MEETING      29</w:t>
        <w:br/>
        <w:t>Article XII GENERAL PROVISIONS      30</w:t>
        <w:br/>
        <w:t>Article XIII RESTRICTIONS ON TRANSFER AND OWNERSHIP OF SHARES      33</w:t>
        <w:br/>
        <w:t xml:space="preserve">        This AMENDED AND RESTATED OPERATING AGREEMENT OF FUNDRISE GROWTH eREIT III, LLC is dated as of February 13, 2019. Capitalized terms used herein without definition shall have the respective meanings ascribed thereto in Section 1.1 or Section 13.1.</w:t>
        <w:br/>
        <w:t xml:space="preserve">  WHEREAS, the Company was originally formed as Fundrise Growth eREIT III, LLC under the Delaware Act pursuant to that certain Certificate of Formation filed with the Secretary of State of the State of Delaware on October 5, 2018 (the “Certificate of Formation”), and that certain Limited Liability Company Operating Agreement of Fundrise Growth eREIT III, LLC dated as of October 12, 2018 (the “Operating Agreement”);</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Fundrise Growth eREIT III,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3  </w:t>
        <w:br/>
        <w:t xml:space="preserve">    “Common Shares” means any Shares of the Company that are not Preferred Shares.</w:t>
        <w:br/>
        <w:t xml:space="preserve">  “Company” means Fundrise Growth eREIT III,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4.9.</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4  </w:t>
        <w:br/>
        <w:t xml:space="preserve">    “Market Price” means, with respect to the Common Shares on a particular date, $10.00 per Common Share until December 31, 2019.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024-10843) filed by the Company with the Commission on December 21, 2019, and the offering circular filed pursuant to Rule 253(g)(2) of the Securities Act on February 13,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5  </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6  </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Growth eREIT III,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7  </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8  </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9  </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the date on which the Company raises and accepts at least $1,000,000 in the Initial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10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11  </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12  </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13  </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this Agreement, the Manager shall enter into that certain Fee Waiver Support Agreement that provides that, subject to the terms and conditions contained therein and for a period until June 30, 2019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14  </w:t>
        <w:br/>
        <w:t xml:space="preserve">    (iii)          adopt and periodically review the Company’s investment guidelines;</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15  </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16  </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17  </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18  </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19  </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20  </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21</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December 31, 2019,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publically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w:t>
        <w:br/>
        <w:t xml:space="preserve">  (c)            Acquisition / Origination Fees. Co-investors, joint-venture, borrower or property-holding entity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the Company’s behalf in connection with the liquidation of equity investments in real estate, and the Company will pay up to 1.5% of the gross proceeds from such sale if the Manager is acting as the real estate developer or is engaged by the developer to sell the project. Whether to liquidate an equity investment in real estate is in the sole discretion of the Manager.</w:t>
        <w:br/>
        <w:t xml:space="preserve">  (e)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Manager may, in its sole discretion, waive the development management fee, in whole or in part. The Manager will forfeit any portion of the development management fee that is waived.</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22</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Semi-Annual Determination of Net Asset Value. At the end of each semi-annual period, or such other period as determined by the Manager in its sole discretion, but no less frequently than annually, beginning December 31, 2019, the Sponsor’s internal accountants and asset management team will calculate the Company’s NAV per share using a process that reflects (1) estimated values of each of commercial real estate assets and investments, as determined by such asset management team, including related liabilities, based upon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(2) the price of liquid assets for which third party market quotes are available, (3) accruals of periodic distributions and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23</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24</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25</w:t>
        <w:br/>
        <w:t xml:space="preserve">    ARTICLE IX</w:t>
        <w:br/>
        <w:t xml:space="preserve">  AMENDMENT OF AGREEMENT</w:t>
        <w:br/>
        <w:t>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26</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27</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28</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29</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30</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Washington D.C.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Fundrise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31</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32</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 (i) suspension, termination, revocation, closure, or amendments to this Agreement and the relationship of the parties; (ii) the bankruptcy or insolvency of any party hereto or other party; and (iii) any transfer of any loan or Common Share or any amounts owed on such loans or notes, to any other party.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33</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34</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35</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36</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37</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Fundrise Growth eREIT III,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38</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39</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40</w:t>
        <w:br/>
        <w:t xml:space="preserve">    IN WITNESS WHEREOF, this Agreement has been executed as of the date first written above.</w:t>
        <w:br/>
        <w:t xml:space="preserve">    MANAGER:</w:t>
        <w:br/>
        <w:t xml:space="preserve">      FUNDRISE ADVISORS, LLC</w:t>
        <w:br/>
        <w:t xml:space="preserve">        By:  /s/ Xxxxxxxx Xxxxxx</w:t>
        <w:br/>
        <w:t xml:space="preserve">    Name: Xxxxxxxx Xxxxxx</w:t>
        <w:br/>
        <w:t xml:space="preserve">    Title: CEO of Manager</w:t>
        <w:br/>
        <w:t xml:space="preserve">        INITIAL MEMBER:</w:t>
        <w:br/>
        <w:t xml:space="preserve">      RISE COMPANIES CORP.</w:t>
        <w:br/>
        <w:t xml:space="preserve">        By:  /s/ Xxxxxxxx Xxxxxx</w:t>
        <w:br/>
        <w:t xml:space="preserve">    Name: Xxxxxxxx Xxxxxx</w:t>
        <w:br/>
        <w:t xml:space="preserve">    Title: CEO</w:t>
        <w:br/>
        <w:t xml:space="preserve">  [Signature Page to Amended and Restated Operating Agreement of Fundrise Growth eREIT III,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