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SECOND AMENDED AND RESTATED</w:t>
        <w:br/>
        <w:t xml:space="preserve">  OPERATING AGREEMENT</w:t>
        <w:br/>
        <w:t xml:space="preserve">  OF</w:t>
        <w:br/>
        <w:t xml:space="preserve">  FUNDRISE EAST COAST OPPORTUNISTIC REIT, LLC</w:t>
        <w:br/>
        <w:t xml:space="preserve">  Effective as of January 1, 2023</w:t>
        <w:br/>
        <w:t xml:space="preserve">        TABLE OF CONTENTS</w:t>
        <w:br/>
        <w:t xml:space="preserve">  Page</w:t>
        <w:br/>
        <w:t xml:space="preserve">  ARTICLE I DEFINITIONS 1</w:t>
        <w:br/>
        <w:t>Section 1.1. Definitions 1</w:t>
        <w:br/>
        <w:t>Section 1.2. Construction 6</w:t>
        <w:br/>
        <w:t>ARTICLE II ORGANIZATION 6</w:t>
        <w:br/>
        <w:t>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ARTICLE III MEMBERS AND SHARES 9</w:t>
        <w:br/>
        <w:t>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ARTICLE IV DISTRIBUTIONS AND REDEMPTIONS 14</w:t>
        <w:br/>
        <w:t>Section 4.1. Distributions to Record Holders 14</w:t>
        <w:br/>
        <w:t>Section 4.2. Distributions in Kind 14</w:t>
        <w:br/>
        <w:t>Section 4.3. Valuations of In-Kind Distributions 14</w:t>
        <w:br/>
        <w:t>Section 4.4. Redemption in Connection with ERISA 15</w:t>
        <w:br/>
        <w:t>Section 4.5. Personal Conduct Repurchase Right 15</w:t>
        <w:br/>
        <w:t>Section 4.6. Redemption Plan 15</w:t>
        <w:br/>
        <w:t>Section 4.7. Payment of Taxes 16</w:t>
        <w:br/>
        <w:t>Section 4.8. Absence of Certain Other Rights 16</w:t>
        <w:br/>
        <w:t>Section 4.9. Fee Waiver Support 16</w:t>
        <w:br/>
        <w:t>ARTICLE V MANAGEMENT AND OPERATION OF BUSINESS 17</w:t>
        <w:br/>
        <w:t>Section 5.1. Power and Authority of the Manager 17</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 xml:space="preserve">  i</w:t>
        <w:br/>
        <w:t xml:space="preserve">    Section 5.7. Outside Activities 26</w:t>
        <w:br/>
        <w:t>Section 5.8. Reliance by Third Parties 26</w:t>
        <w:br/>
        <w:t>Section 5.9. Certain Conflicts of Interest 26</w:t>
        <w:br/>
        <w:t>Section 5.10. Fees and Other Compensation Payable to the Manager or its Affiliates 27</w:t>
        <w:br/>
        <w:t>Section 5.11. Reimbursement of Expenses 28</w:t>
        <w:br/>
        <w:t>Section 5.12. Quarterly Determination of Net Asset Value 29</w:t>
        <w:br/>
        <w:t>ARTICLE VI BOOKS, RECORDS, ACCOUNTING AND REPORTS 30</w:t>
        <w:br/>
        <w:t>Section 6.1. Records and Accounting 30</w:t>
        <w:br/>
        <w:t>Section 6.2. Fiscal Year 30</w:t>
        <w:br/>
        <w:t>Section 6.3. Reports 30</w:t>
        <w:br/>
        <w:t>ARTICLE VII TAX MATTERS 30</w:t>
        <w:br/>
        <w:t>Section 7.1. Qualifying and Maintaining Qualification as a REIT 30</w:t>
        <w:br/>
        <w:t>ARTICLE VIII DISSOLUTION, TERMINATION AND LIQUIDATION 30</w:t>
        <w:br/>
        <w:t>Section 8.1. Dissolution and Termination 30</w:t>
        <w:br/>
        <w:t>Section 8.2. Liquidator 31</w:t>
        <w:br/>
        <w:t>Section 8.3. Liquidation of the Company 31</w:t>
        <w:br/>
        <w:t>Section 8.4. Cancellation of Certificate of Formation 32</w:t>
        <w:br/>
        <w:t>Section 8.5. Return of Contributions 32</w:t>
        <w:br/>
        <w:t>Section 8.6. Waiver of Partition 32</w:t>
        <w:br/>
        <w:t>ARTICLE IX AMENDMENT OF AGREEMENT 32</w:t>
        <w:br/>
        <w:t>Section 9.1. General 32</w:t>
        <w:br/>
        <w:t>Section 9.2. Super-Majority Amendments 33</w:t>
        <w:br/>
        <w:t>Section 9.3. Amendments to be Adopted Solely by the Manager 33</w:t>
        <w:br/>
        <w:t>Section 9.4. Certain Amendment Requirements 34</w:t>
        <w:br/>
        <w:t>ARTICLE X MERGER, CONSOLIDATION OR CONVERSION 35</w:t>
        <w:br/>
        <w:t>Section 10.1. Authority 35</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37</w:t>
        <w:br/>
        <w:t>ARTICLE XI MEMBERS’ VOTING POWERS AND MEETING 37</w:t>
        <w:br/>
        <w:t>Section 11.1. Voting 37</w:t>
        <w:br/>
        <w:t>Section 11.2. Voting Powers 37</w:t>
        <w:br/>
        <w:t>Section 11.3. Meetings 37</w:t>
        <w:br/>
        <w:t>Section 11.4. Record Dates 38</w:t>
        <w:br/>
        <w:t>Section 11.5. Quorum and Required Vote 38</w:t>
        <w:br/>
        <w:t>Section 11.6. Action by Written Consent 38</w:t>
        <w:br/>
        <w:t>Section 11.7. Classes and Series 38</w:t>
        <w:br/>
        <w:t xml:space="preserve">  ii</w:t>
        <w:br/>
        <w:t xml:space="preserve">    ARTICLE XII GENERAL PROVISIONS 38</w:t>
        <w:br/>
        <w:t>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40</w:t>
        <w:br/>
        <w:t>Section 12.9. Invalidity of Provisions 40</w:t>
        <w:br/>
        <w:t>Section 12.10. Consent of Members 40</w:t>
        <w:br/>
        <w:t>Section 12.11. Facsimile and Electronic Signatures 40</w:t>
        <w:br/>
        <w:t>Section 12.12. Assignment 40</w:t>
        <w:br/>
        <w:t>ARTICLE XIII RESTRICTIONS ON TRANSFER AND OWNERSHIP OF SHARES 40</w:t>
        <w:br/>
        <w:t>Section 13.1. Definitions 40</w:t>
        <w:br/>
        <w:t>Section 13.2. Ownership Limitations 43</w:t>
        <w:br/>
        <w:t>Section 13.3. Remedies for Breach 44</w:t>
        <w:br/>
        <w:t>Section 13.4. Notice of Restricted Transfer 44</w:t>
        <w:br/>
        <w:t>Section 13.5. Owners Required To Provide Information 44</w:t>
        <w:br/>
        <w:t>Section 13.6. Remedies Not Limited 45</w:t>
        <w:br/>
        <w:t>Section 13.7. Ambiguity 45</w:t>
        <w:br/>
        <w:t>Section 13.8. Exceptions 45</w:t>
        <w:br/>
        <w:t>Section 13.9. Increase or Decrease in Aggregate Ownership and Common Share Ownership Limits 46</w:t>
        <w:br/>
        <w:t>Section 13.10. Legend 47</w:t>
        <w:br/>
        <w:t>Section 13.11. Transfer of Shares in Trust 48</w:t>
        <w:br/>
        <w:t>Section 13.12. Enforcement 50</w:t>
        <w:br/>
        <w:t>Section 13.13. Non-Waiver 50</w:t>
        <w:br/>
        <w:t>Section 13.14. Severability 50</w:t>
        <w:br/>
        <w:t xml:space="preserve">  iii</w:t>
        <w:br/>
        <w:t xml:space="preserve">    This SECOND AMENDED AND RESTATED OPERATING AGREEMENT OF FUNDRISE EAST COAST OPPORTUNISTIC REIT, LLC, is effective as of January 1, 2023. Capitalized terms used herein without definition shall have the respective meanings ascribed thereto in Section 1.1 or Section 13.1.</w:t>
        <w:br/>
        <w:t xml:space="preserve">  WHEREAS, the Company was formed under the Delaware Act pursuant to a certificate of formation filed with the Secretary of State of the State of Delaware on November 19, 2015 (the “Certificate of Formation”), and that certain Limited Liability Company Agreement of Fundrise East Coast Opportunistic REIT, LLC, dated as of November 19, 2015 (the “Original Operating Agreement”), as amended and restated by that certain Xxxxxxx and Restated Operating Agreement, dated as of September 30, 2016 (the “Previous Operating Agreement”); and</w:t>
        <w:br/>
        <w:t xml:space="preserve">  WHEREAS, the Manager has authorized and approved an amendment and restatement of the Previous Operating Agreement on the terms set forth herein.</w:t>
        <w:br/>
        <w:t xml:space="preserve">  NOW THEREFORE, the Previous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East Coast Opportunistic REIT,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East Coast Opportunistic REIT,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4.9.</w:t>
        <w:br/>
        <w:t xml:space="preserve">  “Fundrise Platform” means the online investment platform located at xxx.xxxxxxxx.xxx, which is owned and operated by Fundrise, LLC, an affiliate of the Sponsor.</w:t>
        <w:br/>
        <w:t xml:space="preserve">  2</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2017. Thereafter, the Market Price will be adjusted every fiscal quarter and, as of January 1 st , April 1 st , July 1 st and October 1 st of each year (or as soon as commercially reasonable and announced by us thereafter), will equal the greater of (i) $10.00 per share or (ii) the sum of our net asset value, or NAV, divided by the number of our common shares outstanding as of the end of the prior fiscal quarter,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3</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024-10566) filed by the Company with the Commission on September 30, 2016, and the offering circular filed pursuant to Rule 253(g)(2) of the Securities Act on October 5, 2016,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“Opinion of Counsel” means a written opinion of counsel (who may be regular counsel to the Company or any of its Affiliates) acceptable to the Manager.</w:t>
        <w:br/>
        <w:t xml:space="preserve">  “Previous Operating Agreement” has the meaning set forth in the recitals to this Agreement.</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5</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East Coast Opportunistic 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 Xxxxxx, Xxxx xx Xxxxxxxxxx, Xxxxxx xx Xxxxxxxxx, 00000, and the name of its registered agent at such address is The Corporation Trust Company. The principal office of the Company shall be located at 00 Xxxxxx Xxxxxx, XX, 0xx Xxxxx, Xxxxxxxxxx, X.X. 20036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9</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purchased an aggregate of 9,500 Common Shares of the Company in a private placement.</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13</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14</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15</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the Original Operating Agreement, the Manager entered into that certain Fee Waiver Support Agreement that provides that, subject to the terms and conditions contained therein and for a period until December 31, 2016 (the “Fee Waiver Period”), the Manager shall waive its asset management fee during the Fee Waiver Period if the average annualized non-compounded return to investors is less than eight percent (8%). Following the conclusion of the Fee Waiver Period, the Manager may, in its sole discretion, waive its asset management fee, in whole or in part. The Manager will forfeit any portion of the asset management fee that is waived.</w:t>
        <w:br/>
        <w:t xml:space="preserve">  16</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approve joint ventures, limited partnerships and other such relationships with third parties;</w:t>
        <w:br/>
        <w:t xml:space="preserve">  (v)           approve any potential liquidity transaction;</w:t>
        <w:br/>
        <w:t xml:space="preserve">  (vi)          obtain market research and economic and statistical data in connection with the Company’s investments and investment objectives and policies;</w:t>
        <w:br/>
        <w:t xml:space="preserve">  (vii)         oversee and conduct due diligence processes related to prospective investments;</w:t>
        <w:br/>
        <w:t xml:space="preserve">  (viii)        prepare reports regarding prospective investments that include recommendations and supporting documentation necessary for the Manager’s investment committee to evaluate the proposed investments; and</w:t>
        <w:br/>
        <w:t xml:space="preserve">  (ix)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17</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18</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19</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20</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22</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23</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24</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25</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w:t>
        <w:br/>
        <w:t xml:space="preserve">    Section 5.10.          Fees and Other Compensation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1.00%, which until December 31, 2017 will be based on the Company’s net proceeds from the Initial Offering as of the end of each quarter, and thereafter will be based on the Company’s NAV at the end of each prior quarter, as calculated pursuant to Section 5.12. The Manager may, in its sole discretion, waive its asset management fee, in whole or in part. The Manager will forfeit any portion of the asset management fee that it waives.</w:t>
        <w:br/>
        <w:t xml:space="preserve">  (b)            Servicing / Property Management Fee. A quarterly servicing / property management fee from 0.00% to 0.50% paid to Fundrise Servicing, LLC for the servicing, property management, and/or administration of certain investments and loans held by the Company.  The servicing fee shall be calculated as an annual percentage of the stated value of the applicable asset and will be deducted at the time that payments on the asset are made.  The fee shall be deducted in the expected proportion to the split between deferred and current payments.</w:t>
        <w:br/>
        <w:t xml:space="preserve">  (c)            Special Servicing Fee. Special servicing fee equal to an annualized rate of 2.00% of the original value of a non-performing asset, payable quarterly in arrears.  Whether an asset is deemed to be non-performing is in the sole discretion of the Manager.</w:t>
        <w:br/>
        <w:t xml:space="preserve">  (d)            Acquisition / Origination Fees. Co-investors will pay up to 3.0%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the borrower will pay up to 3.0% of the amount funded by the Company, the Sponsor or Affiliates of the Sponsor to acquire or originate such commercial real estate loans.</w:t>
        <w:br/>
        <w:t xml:space="preserve">  (e)            Disposition Fees. Disposition fee of 0.50% of the gross proceeds, after repayment of any property-level debt, from the liquidation of any of the Company’s equity investments in real estate.</w:t>
        <w:br/>
        <w:t xml:space="preserve">  (f)            Other Services by Affiliates. Whereas the Company aims to leverage technology to improve the quality and lower the costs of the investment value chain, the Manager may from time to time engage Affiliates of the Manager as service providers with the goal of building towards and driving improved performance. Affiliates of the Manager retained for such services relating to any of the Company’s investments or operations may receive compensation or fees paid by the Company for such services, which shall be at or below market rates. Affiliate services compensation will not otherwise reduce the amount of other fees payable to the Manager or its Affiliates pursuant to this Section 5.10. The potential services may include, but are not limited to, accounting and audit services (including valuation support services), transaction support services (including but not limited to coordinating with brokers, lawyers, accountants, transfer agents, and other advisors (each of whom may be Affiliates), assembling relevant information, conducting financial and market analyses, and coordinating closing procedures), account management services, corporate secretarial services, data management services, directorship services, information technology services, technology and software services, finance/budget services, human resources, judicial processes, legal services, operational services, risk management services, tax services, treasury services, loan management services, construction management services, property management services, leasing services, other real estate related services, transaction support services, transaction consulting services, as well as services related to mortgage servicing, group purchasing, healthcare, consulting/brokerage, capital markets/credit origination, property, title or other types of insurance, management consulting and other operational and investment matters that may arise in the future that are currently unknowable.</w:t>
        <w:br/>
        <w:t xml:space="preserve">  27</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w:t>
        <w:br/>
        <w:t xml:space="preserve">  28</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Quarterly Determination of Net Asset Value. At the end of each fiscal quarter beginning December 31, 2017, the Manager shall cause the Company’s accountants to calculate the Company’s net asset value (“NAV”) using a process that reflects, among other matters, (1) estimated values of each of the Company’s commercial real estate assets and investments, including related liabilities; (2) quarterly updates in the price of liquid assets for which third party market quotes are available; (3) accruals of quarterly or other periodic distributions, and (4) estimates of quarterly accruals, on a net basis, of the Company’s operating revenues, expenses and fees. The Market Price per Share for a given fiscal quarter shall be determined by dividing the Company’s NAV at the end of the prior fiscal quarter by the number of Common Shares Outstanding as of the end of the prior fiscal quarter, after giving effect to any share purchases, redemptions, contributions or distributions made through the end of the prior fiscal quarter.</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29</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30</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31</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32</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33</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34</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35</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36</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37</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39</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40</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41</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42</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w:t>
        <w:br/>
        <w:t xml:space="preserve">  43</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 upon request following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44</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45</w:t>
        <w:br/>
        <w:t xml:space="preserve">    (c)            Subject to Section 13.2(a)(ii),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46</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East Coast Opportunistic REIT, LLC,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47</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48</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49</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50</w:t>
        <w:br/>
        <w:t xml:space="preserve">    IN WITNESS WHEREOF, this Agreement has been executed as of the date first written above.</w:t>
        <w:br/>
        <w:t xml:space="preserve">    MANAGER:</w:t>
        <w:br/>
        <w:t xml:space="preserve">      FUNDRISE ADVISORS, LLC</w:t>
        <w:br/>
        <w:t xml:space="preserve">      By: /s/ Xxxxxxxx Xxxxxx</w:t>
        <w:br/>
        <w:t xml:space="preserve">    Name: Xxxxxxxx Xxxxxx</w:t>
        <w:br/>
        <w:t xml:space="preserve">    Title: Chief Executive Officer</w:t>
        <w:br/>
        <w:t xml:space="preserve">      INITIAL MEMBER:</w:t>
        <w:br/>
        <w:t xml:space="preserve">      RISE COMPANIES CORP.</w:t>
        <w:br/>
        <w:t xml:space="preserve">      By: /s/ Xxxxxxxx Xxxxxx</w:t>
        <w:br/>
        <w:t xml:space="preserve">    Name: Xxxxxxxx Xxxxxx</w:t>
        <w:br/>
        <w:t xml:space="preserve">    Title: Chief Executive Officer</w:t>
        <w:br/>
        <w:t xml:space="preserve">  [Signature Page to Second Amended and Restated Operating Agreement of Fundrise East Coast Opportunistic 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