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w:t>
        <w:br/>
        <w:t xml:space="preserve">  OPERATING AGREEMENT</w:t>
        <w:br/>
        <w:t xml:space="preserve">  OF</w:t>
        <w:br/>
        <w:t xml:space="preserve">  ARRIVED SFR GENESIS FUND, LLC</w:t>
        <w:br/>
        <w:t xml:space="preserve">  Dated as of May 31, 2023 </w:t>
        <w:br/>
        <w:t xml:space="preserve">        Table of Contents</w:t>
        <w:br/>
        <w:t xml:space="preserve">  Article I DEFINITIONS 1</w:t>
        <w:br/>
        <w:t>Article II ORGANIZATION 6</w:t>
        <w:br/>
        <w:t>Article III MEMBERS AND SHARES 8</w:t>
        <w:br/>
        <w:t>Article IV DISTRIBUTIONS AND REDEMPTIONS 12</w:t>
        <w:br/>
        <w:t>Article V MANAGEMENT AND OPERATION OF BUSINESS 14</w:t>
        <w:br/>
        <w:t>Article VI BOOKS, RECORDS, ACCOUNTING AND REPORTS 25</w:t>
        <w:br/>
        <w:t>Article VII TAX MATTERS 25</w:t>
        <w:br/>
        <w:t>Article VIII DISSOLUTION, TERMINATION AND LIQUIDATION 26</w:t>
        <w:br/>
        <w:t>Article IX AMENDMENT OF AGREEMENT 27</w:t>
        <w:br/>
        <w:t>Article X MERGER, CONSOLIDATION OR CONVERSION 30</w:t>
        <w:br/>
        <w:t>Article XI MEMBERS’ VOTING POWERS AND MEETING 31</w:t>
        <w:br/>
        <w:t>Article XII GENERAL PROVISIONS 33</w:t>
        <w:br/>
        <w:t>Article XIII RESTRICTIONS ON TRANSFER AND OWNERSHIP OF SHARES 36</w:t>
        <w:br/>
        <w:t xml:space="preserve">  i</w:t>
        <w:br/>
        <w:t xml:space="preserve">    This AMENDED AND RESTATED OPERATING AGREEMENT OF ARRIVED SFR GENESIS FUND, LLC (the “Operating Agreement”) is dated as of May 31, 2023. Capitalized terms used herein without definition shall have the respective meanings ascribed thereto in Section 1.1 or Section 13.1.</w:t>
        <w:br/>
        <w:t xml:space="preserve">  WHEREAS, the Company was originally formed as Arrived SFR Genesis Fund, LLC under the Delaware Act pursuant to that certain Certificate of Formation of Limited Liability Company filed with the Secretary of State of the State of Delaware on May 17, 2023 (the “Certificate of Formation”);</w:t>
        <w:br/>
        <w:t xml:space="preserve">  WHEREAS, the Manager has authorized and approved an amendment and restatement of the Operating Agreement on the terms set forth herein.</w:t>
        <w:br/>
        <w:t xml:space="preserve">  NOW THEREFORE, the Operating Agreement of the Company is hereby amended and restated to read in its entirety as follows:</w:t>
        <w:br/>
        <w:t xml:space="preserve">  ARTICLE I</w:t>
        <w:br/>
        <w:br/>
        <w:t>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Arrived SFR Genesis Fund, LLC, as it may be amended, modified, supplemented or restated from time to time.</w:t>
        <w:br/>
        <w:t xml:space="preserve">  “Arrived Platform” means the online investment platform located at xxx.xxxxxxx.xxx, which is owned and operated by Arrived Holdings, Inc., our Sponsor.</w:t>
        <w:br/>
        <w:t xml:space="preserve">  “Business Day” means any day other than a Saturday, a Sunday or a day on which commercial banks in New York, New York are authorized or required to close.</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1</w:t>
        <w:br/>
        <w:t xml:space="preserve">    “Commission” means the United States Securities and Exchange Commission.</w:t>
        <w:br/>
        <w:t xml:space="preserve">  “Common Shares” means any Shares of the Company that are not Preferred Shares.</w:t>
        <w:br/>
        <w:t xml:space="preserve">   “Company” means Arrived SFR Genesis Fund, LLC, a Delaware limited liability company, and any successors thereto.</w:t>
        <w:br/>
        <w:t xml:space="preserve">  “Conflict of Interest” means:</w:t>
        <w:br/>
        <w:t xml:space="preserve">  (i) any matter that the Manager believes may involve a conflict of interest that is not otherwise addressed by the Company’s conflicts of interest policy; or</w:t>
        <w:br/>
        <w:t xml:space="preserve">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“First NAV Reporting Date” means the last day of the second full calendar quarter following the initial qualification of the Company’s offering.</w:t>
        <w:br/>
        <w:t xml:space="preserve">  “Governmental Entity” means any court, administrative agency, regulatory body, commission or other governmental authority, board, bureau or instrumentality, domestic or foreign and any subdivision thereof.</w:t>
        <w:br/>
        <w:t xml:space="preserve">  “Gross Receipts” means unit rents, furniture or equipment rental, parking, forfeited security deposits applied to rental payments, late charges, judgments or awards (net of litigation costs) collected in the enforcement of any lease, income from coin-operated machines, proceeds from rental interruption insurance, application fees, and other miscellaneous income collected at the property, but excludes all other receipts, including but not limited to, security deposits (other than forfeited deposits applied to rent), interest earned on property accounts, proceeds of claims on account of insurance policies (other than rental interruption insurance), abatement of taxes, and awards arising out of takings by eminent domain, discounts and dividends on insurance policies and bonus payments by service providers for installation of services or equipment (such as cable television or laundry machines).</w:t>
        <w:br/>
        <w:t xml:space="preserve">  “Indemnified Person” means:</w:t>
        <w:br/>
        <w:t xml:space="preserve">  (a) any Person who is or was an officer of the Company, if any;</w:t>
        <w:br/>
        <w:t xml:space="preserve">  (b) the Manager, together with its officers, directors, members and managers;</w:t>
        <w:br/>
        <w:t xml:space="preserve">  (c) the Sponsor, together with its officers, directors, shareholders and Affiliates;</w:t>
        <w:br/>
        <w:t xml:space="preserve">  (d) any Person who is or was serving at the request of the Company as an officer, director, member, manager, partner, fiduciary or trustee of another Person (including any Subsidiary); provided, that a Person shall not be an Indemnified Person by reason of providing, on a fee-for-services basis, trustee, fiduciary or custodial services; and</w:t>
        <w:br/>
        <w:t xml:space="preserve">  (e) any Person the Manager designates as an “Indemnified Person” for purposes of this Agreement.</w:t>
        <w:br/>
        <w:t xml:space="preserve">  2</w:t>
        <w:br/>
        <w:t xml:space="preserve">     “Independent Representative” means an independent representative appointed by the Manager to review and approve certain transactions involving a Conflict of Interest in order to protect the interests of the Company and the Members. </w:t>
        <w:br/>
        <w:t xml:space="preserve">  “Initial Member” means Arrived Holdings, Inc., a Delaware public benefit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Arrived Fund Manager, LLC, a Delaware limited liability company and a wholly-owned subsidiary of the Sponsor.</w:t>
        <w:br/>
        <w:t xml:space="preserve">  “Market Price” means, with respect to the Common Shares on a particular date, $10.00 per Common Share until the First NAV Reporting. Thereafter, the Market Price will be adjusted every quarterly period (or as soon as commercially reasonable and announced by us thereafter), or such other period as determined by the Manager in its sole discretion, but no less frequently than annually, and will equal:</w:t>
        <w:br/>
        <w:t xml:space="preserve">  the sum of our net asset value, or NAV, divided by the number of our common shares outstanding as of the end of the prior quarterly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 </w:t>
        <w:br/>
        <w:t xml:space="preserve">  “Non-Compliant Tender Offer” has the meaning assigned to such term in Section 3.9.</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_________) filed by the Company with the Commission on _________, and the offering circular filed pursuant to Rule 253(g)(2) of the Securities Act on _________ , pursuant to which the Company has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3</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w:t>
        <w:br/>
        <w:t xml:space="preserve">  (a) Title I of ERISA;</w:t>
        <w:br/>
        <w:t xml:space="preserve">  (b) Code Section 4975; or</w:t>
        <w:br/>
        <w:t xml:space="preserve">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w:t>
        <w:br/>
        <w:t xml:space="preserve">    (i) the right to share profits or losses or items thereof;</w:t>
        <w:br/>
        <w:t xml:space="preserve">    (ii) the right to share in distributions; or</w:t>
        <w:br/>
        <w:t xml:space="preserve">    (iii) rights upon termination or liquidation of the Company (including in connection with the dissolution or liquidation of the Company).</w:t>
        <w:br/>
        <w:t xml:space="preserve">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w:t>
        <w:br/>
        <w:t xml:space="preserve">  (a) the identity of the Record Holders entitled to notice of, or to vote at, any meeting of Members or entitled to exercise rights in respect of any lawful action of Members; or</w:t>
        <w:br/>
        <w:t xml:space="preserve">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4</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Arrived Holdings, Inc., a Delaware public benefit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“Tendered Shares” has the meaning assigned to such term in Section 3.9.</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w:t>
        <w:br/>
        <w:t xml:space="preserve">  (a) any pronoun used in this Agreement shall include the corresponding masculine, feminine or neuter forms, and the singular form of nouns, pronouns and verbs shall include the plural and vice versa;</w:t>
        <w:br/>
        <w:t xml:space="preserve">  (b) references to Articles and Sections refer to Articles and Sections of this Agreement; and</w:t>
        <w:br/>
        <w:t xml:space="preserve">  (c) the term “include” or “includes” means includes, without limitation, and “including” means including, without limitation.</w:t>
        <w:br/>
        <w:t xml:space="preserve">  5</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“Arrived SFR Genesis Fund,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 </w:t>
        <w:br/>
        <w:t xml:space="preserve">  Section 2.3. Registered Office; Registered Agent; Principal Office; Other Offices. Unless and until changed by the Manager, the address of the registered office of the Company in the State of Delaware is VCorp Services, LLC, 0000 Xxxxxxxxxx Xxxx, Xxxxxxxxxx, Xxxxxxxx 19810, and the name of the registered agent at such address is VCorp Services, LLC. The principal office of the Company shall be located at 0000 Xxxxxxxx Xxx Xxxxx, Xxxxx 000, 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w:t>
        <w:br/>
        <w:t xml:space="preserve">  (a) promote, conduct or engage in, directly or indirectly, any business, purpose or activity that lawfully may be conducted by a limited liability company organized pursuant to the Delaware Act;</w:t>
        <w:br/>
        <w:t xml:space="preserve">  (b) acquire and maintain a portfolio of residential properties and, to exercise all of the rights and powers conferred upon the Company with respect to its interests therein;</w:t>
        <w:br/>
        <w:t xml:space="preserve">  (c) acquire, hold and dispose of interests in any corporation, partnership, joint venture, limited liability company, trust or other entity and, in connection therewith, to exercise all of the rights and powers conferred upon the Company with respect to its interests therein; and</w:t>
        <w:br/>
        <w:t xml:space="preserve">  (d)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6</w:t>
        <w:br/>
        <w:t xml:space="preserve">    (ii) all certificates, documents and other instruments that the Manager or the Liquidator determines to be necessary or appropriate to reflect, in accordance with its terms, any amendment, change, modification or restatement of this Agreement; </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w:t>
        <w:br/>
        <w:t xml:space="preserve">  (i) make, evidence, give, confirm or ratify any vote, consent, approval, agreement or other action that is made or given by the Members hereunder or is consistent with the terms of this Agreement; or</w:t>
        <w:br/>
        <w:t xml:space="preserve">  (ii) effectuate the terms or intent of this Agreement;</w:t>
        <w:br/>
        <w:t xml:space="preserve">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7</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br/>
        <w:t>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w:t>
        <w:br/>
        <w:t xml:space="preserve">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 xml:space="preserve">  (ii) no Member holding any class or series, if any, of any Shares of the Company shall have priority over any other Member holding the same class or series of Shares either as to the return of Capital Contributions or as to distributions;</w:t>
        <w:br/>
        <w:t xml:space="preserve">  8</w:t>
        <w:br/>
        <w:t xml:space="preserve">    (iii) no interest shall be paid by the Company on Capital Contributions; and</w:t>
        <w:br/>
        <w:t xml:space="preserve">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1,000 Common Shares.</w:t>
        <w:br/>
        <w:t xml:space="preserve">  9</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 xml:space="preserve">  (i) makes proof by affidavit, in form and substance satisfactory to the Company, that a previously issued Certificate has been lost, destroyed or stolen;</w:t>
        <w:br/>
        <w:t xml:space="preserve">  (ii) requests the issuance of a new Certificate before the Company has notice that the Certificate has been acquired by a purchaser for value in good faith and without notice of an adverse claim;</w:t>
        <w:br/>
        <w:t xml:space="preserve">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10</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 </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 </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(iv) grants powers of attorney to the Manager and any Liquidator of the Company, as specified herein; and</w:t>
        <w:br/>
        <w:t xml:space="preserve">  (v) makes the consents and waivers contained in this Agreement. The transfer of any Shares and the admission of any new Member shall not constitute an amendment to this Agreement;</w:t>
        <w:br/>
        <w:t xml:space="preserve">  (e) Notwithstanding the foregoing, so long as:</w:t>
        <w:br/>
        <w:t xml:space="preserve">  (i) Arrived Fund Manager, LLC, or one of its Affiliates, remains the Manager of the Company; and</w:t>
        <w:br/>
        <w:t xml:space="preserve">  (ii) access to the Arrived Platform and the ability to open accounts thereon is reasonably available to potential transferees, no transfer of Shares shall be valid unless the transferee has established an account on the Arrived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 </w:t>
        <w:br/>
        <w:t xml:space="preserve">  11</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ARTICLE IV</w:t>
        <w:br/>
        <w:br/>
        <w:t>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12</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in the discretion of the Manager, directly or through its Transfer Agent, if any, or through any other Person, agent or means,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 </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 xml:space="preserve">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 </w:t>
        <w:br/>
        <w:t xml:space="preserve">  13</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w:t>
        <w:br/>
        <w:br/>
        <w:t>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 </w:t>
        <w:br/>
        <w:t xml:space="preserve">  (ii) serve as the Company’s investment and financial manager with respect to originating, investing in and managing a diversified portfolio of residential real estate loans, preferred equity investments in residential real estate and other select residential real estate investments and real estate-related assets;</w:t>
        <w:br/>
        <w:t xml:space="preserve">  (iii) adopt and periodically review the Company’s investment guidelines; </w:t>
        <w:br/>
        <w:t xml:space="preserve">  14</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15</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 </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w:t>
        <w:br/>
        <w:t xml:space="preserve">  (1) making an election be treated as a REIT or to revoke such status; and</w:t>
        <w:br/>
        <w:t xml:space="preserve">  (2)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16</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three-fourths (3/4)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17</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18</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19</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w:t>
        <w:br/>
        <w:t xml:space="preserve">  (i)  the duties and obligations owed to the Company by the Manager and its officers and directors shall be the same as the duties and obligations owed to a corporation organized under DGCL by its officers and directors, respectively; and</w:t>
        <w:br/>
        <w:t xml:space="preserve">  20</w:t>
        <w:br/>
        <w:t xml:space="preserve">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21</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and Other Compensation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waived fees may, in the Manager’s discretion, be forfeited. All or any portion of any deferred fees will be deferred without interest and paid when the Manager determines. The Manager shall have the right to modify these fee amounts and categories of fees at any time, subject to the approval of the Independent Representative and notice to the Members.</w:t>
        <w:br/>
        <w:t xml:space="preserve">  (a) Asset Management Fee. The Company will pay the Manager a quarterly asset management fee equal to an annualized rate of 1.0%, which will initially be based on the Company’s net offering proceeds as of the end of each quarter, and after the First NAV Reporting Date, will be based on the Company’s NAV, as calculated pursuant to Section 5.12, at the end of each prior quarterly period (or such other period as determined by the Manager in its sole discretion, but no less frequently than annually).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including, but not limited to, reimbursement of non-ordinary expenses and employee time required to special service a non-performing asset. Whether an asset is deemed to be non-performing is in the sole discretion of the Manager.</w:t>
        <w:br/>
        <w:t xml:space="preserve">  (c) Sourcing Fees. With respect to equity investments, the Company will pay up to 3.50% of the total purchase price of any property in which the Company makes an equity investment. With respect to debt investments in residential real estate loans, the borrower will pay up to 2.0% of the amount funded by the Company, the Sponsor or affiliates of the Sponsor to acquire or originate such residential real estate loans. All such sourcing fees will be paid to the Sponsor.</w:t>
        <w:br/>
        <w:t xml:space="preserve">  (d) Disposition Fees. The Company will reimburse the Manager for actual expenses incurred on the Company’s behalf in connection with the liquidation of equity investments in real estate, including closing costs, and the Company will pay 6.0% of the gross proceeds from such sale of such investments to the Manager as a disposition fee. The Manager will be (i) entitled to retain the difference between fees paid to the broker and the six percent (6.0%) charged to the Company and (ii) responsible for any fees in excess of the six percent (6.0%).</w:t>
        <w:br/>
        <w:t xml:space="preserve">  (e) Property Management Fees. As compensation for the services provided by the property manager, the Company will pay to the Manager or its affiliate a monthly property management fee equal to eight percent (8%) of Gross Receipts1 for the then current calendar month. The Manager may subcontract with a local property manager to provide property management services in which event the Manager will be (i) entitled to retain the difference between the fees paid to the local property manager and the eight percent (8%) charged to the Company and (ii) responsible for any fees in excess of the eight percent (8%). If a property is vacant and not producing rental income, the property management fee will not be paid during any such period of vacancy. The Manager or its affiliate may also receive a fee in the amount of the first month’s rent after a successful tenant placement, and any additional fees paid by a tenant in connection with a lease renewal.</w:t>
        <w:br/>
        <w:t xml:space="preserve">    1 “Gross Receipts” shall include unit rents, furniture or equipment rental, parking, forfeited security deposits applied to rental payments, late charges, judgments or awards (net of litigation costs) collected in the enforcement of any lease, income from coin-operated machines, proceeds from rental interruption insurance, application fees, and other miscellaneous income collected at the property, but shall exclude all other receipts, including but not limited to, security deposits (other than forfeited deposits applied to rent), interest earned on property accounts, proceeds of claims on account of insurance policies (other than rental interruption insurance), abatement of taxes, and awards arising out of takings by eminent domain, discounts and dividends on insurance policies and bonus payments by service providers for installation of services or equipment (such as cable television or laundry machines).</w:t>
        <w:br/>
        <w:t xml:space="preserve">  22</w:t>
        <w:br/>
        <w:t xml:space="preserve">    (f) Interest on Related Party Loans. In connection with each property acquisition, the Manager or its affiliates may provide a loan to finance the purchase price of the property, and the Company will pay interest at the current market rate. The Company may also pay a loan origination fee that will be charged at the current market rate.</w:t>
        <w:br/>
        <w:t xml:space="preserve">  (g) Other Services. The Company may retain certain of the Manager’s Affiliates, from time to time, for services relating to the Company’s investments or operations, which may include accounting and audit services (including valuation support services), account management services, corporate secretarial services, data management services, directorship services, information technology services, finance/budget services, human resources, judicial processes, legal services, operational services, risk management services, tax services, treasury services, loan management services, construction management services, property management services, leasing services, transaction support services, transaction consulting services and other similar operational matters. Any compensation paid to the Company’s Affiliates for any such services will not reduce the asset management fee. Any such arrangements will be at or below market rates.</w:t>
        <w:br/>
        <w:t xml:space="preserve">  (h) Redemption Fees. Except in the case of exceptional redemptions, the redemption price may be reduced by a fee paid to our Manager as compensation for administration of our redemption program.</w:t>
        <w:br/>
        <w:t xml:space="preserve">  Section 5.11. Reimbursement of Expenses. The Company shall pay or reimburse the Manager and its Affiliates for the following:</w:t>
        <w:br/>
        <w:t xml:space="preserve">  (a) Organization and Offering Expenses. The Company will reimburse the Manager for out-of-pocket expenses in connection with our organization and offering expenses, (the “Formation Expenses”) up to a maximum of 2.0% of the gross offering proceeds.</w:t>
        <w:br/>
        <w:t xml:space="preserve">  (b) Origination Expenses. The Company will reimburse the Manager for actual expenses incurred in connection with the selection, acquisition or origination of an investment, to the extent not reimbursed by the borrower in connection with any debt investments the Company may makes, whether or not the Company ultimately acquires or originates the investment.</w:t>
        <w:br/>
        <w:t xml:space="preserve">  (c) Operating Expenses. The Company will reimburse the Manager or its Affiliates for out-of-pocket costs and expenses that are related to the operations of the Company, including, without limitation, those related to:</w:t>
        <w:br/>
        <w:t xml:space="preserve">  (i)  forming and operating Subsidiaries;</w:t>
        <w:br/>
        <w:t xml:space="preserve">  (ii) the investigation of investment opportunities, whether or not consummated, and whether incurred before or after the formation of the Company;</w:t>
        <w:br/>
        <w:t xml:space="preserve">  (iii) the acquisition, ownership, management, financing, hedging of interest rates on financings, or sale of investments;</w:t>
        <w:br/>
        <w:t xml:space="preserve">  (iv) meetings with or reporting to Members;</w:t>
        <w:br/>
        <w:t xml:space="preserve">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w:t>
        <w:br/>
        <w:t xml:space="preserve">  (vi) the Company’s indemnification of the Indemnified Parties pursuant to this Agreement;</w:t>
        <w:br/>
        <w:t xml:space="preserve">  (vii) litigation;</w:t>
        <w:br/>
        <w:t xml:space="preserve">  (viii) borrowings of the Company;</w:t>
        <w:br/>
        <w:t xml:space="preserve">  23</w:t>
        <w:br/>
        <w:t xml:space="preserve">    (ix) liquidating the Company;</w:t>
        <w:br/>
        <w:t xml:space="preserve">  (x) any taxes, fees or other governmental charges levied against the Company and all expenses incurred in connection with any tax audit, investigation, settlement or review of the Company;</w:t>
        <w:br/>
        <w:t xml:space="preserve">  (xi) travel costs associated with investigating and evaluating investment opportunities (whether or not consummated) or making, monitoring, managing or disposing of investments; and</w:t>
        <w:br/>
        <w:t xml:space="preserve">  (xii) the costs of any Affiliates or third parties retained to provide services to Company.</w:t>
        <w:br/>
        <w:t xml:space="preserve">  The expense reimbursements that the Company pays to the Manager also include expenses incurred by the Sponsor in the performance of services under the shared services agreement between the Manager and the Sponsor, including any increases in insurance attributable to the management or operation of the Company.</w:t>
        <w:br/>
        <w:t xml:space="preserve">  The Company shall not be required to pay, and the Manager shall not be entitled to reimbursement for:</w:t>
        <w:br/>
        <w:t xml:space="preserve">  (A) ordinary and usual office overhead expenses of the Manager or any of its Affiliates (including rent, etc.);</w:t>
        <w:br/>
        <w:t xml:space="preserve">  (B) salaries or other compensation of the employees of the Manager or any of its Affiliate; or</w:t>
        <w:br/>
        <w:t xml:space="preserve">  (C) expenses of the Manager’s or any of its Affiliate’s registration as an investment adviser or other compliance with the U.S. Investment Advisers Act of 1940, as amended, or any corresponding state law.</w:t>
        <w:br/>
        <w:t xml:space="preserve">  The Manager or its Affiliates, in their sole discretion may defer or waive any reimbursement payable to it under this Agreement. All or any portion of any waived reimbursement may, in the Manager’s discretion, be forfeited. All or any portion of any deferred reimbursement will be deferred without interest and paid when the Manager determines.</w:t>
        <w:br/>
        <w:t xml:space="preserve">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Quarterly Determination of Net Asset Value. At the end of each quarterly period, or such other period as determined by the Manager in its sole discretion, but no less frequently than annually, beginning on the First NAV Reporting Date, the Sponsor’s internal accountants and asset management team will calculate the Company’s NAV per share using a process that reflects, among other matters,</w:t>
        <w:br/>
        <w:t xml:space="preserve">  (1) estimated values of each of our residential real estate assets and investments, as determined by such asset management team, including related liabilities, based upon</w:t>
        <w:br/>
        <w:t xml:space="preserve">  (a) market rents, comparable sales information and interest rates;</w:t>
        <w:br/>
        <w:t xml:space="preserve">  (b) with respect to debt, default rates and discount rates; and</w:t>
        <w:br/>
        <w:t xml:space="preserve">  (c) in certain instances reports of the underlying real estate provided by an independent valuation expert;</w:t>
        <w:br/>
        <w:t xml:space="preserve">  (2) the price of liquid assets for which third party market quotes are available;</w:t>
        <w:br/>
        <w:t xml:space="preserve">  (3) accruals of periodic distributions; and</w:t>
        <w:br/>
        <w:t xml:space="preserve">  24</w:t>
        <w:br/>
        <w:t xml:space="preserve">    (4) estimated accruals of operating revenues and expenses where we will amortize the brokerage fee, offering expenses and sourcing fee over five years and include accrued fees and operating expenses, accrued distributions payable, accrued management fees and any inter-company loans extended to the Company by the Manager. The Market Price per Share for a given quarterly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residential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residential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25</w:t>
        <w:br/>
        <w:t xml:space="preserve">    ARTICLE VIII</w:t>
        <w:br/>
        <w:t xml:space="preserve">  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 </w:t>
        <w:br/>
        <w:t xml:space="preserve">  In the case of a dissolution of the Company:</w:t>
        <w:br/>
        <w:t xml:space="preserve">  (i)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 xml:space="preserve">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26</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  (i)  affects the Members disproportionately; or</w:t>
        <w:br/>
        <w:t xml:space="preserve">  (ii) materially and adversely affects the rights of the Members.</w:t>
        <w:br/>
        <w:t xml:space="preserve">  27</w:t>
        <w:br/>
        <w:t xml:space="preserve">    If the Manager desires to amend any provision of this Agreement in a manner that would require the vote or consent of Members, then it shall first adopt a resolution setting forth the amendment proposed, declaring its advisability, and then:</w:t>
        <w:br/>
        <w:t xml:space="preserve">  (a) call a special meeting of the Members entitled to vote in respect thereof for the consideration of such amendment; or</w:t>
        <w:br/>
        <w:t xml:space="preserve">  (b)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 </w:t>
        <w:br/>
        <w:t xml:space="preserve">  Section 9.2. Super-Majority Amendments. Notwithstanding Section 9.1, any alteration or amendment to this Section 9.2 or Section 5.2 that:</w:t>
        <w:br/>
        <w:t xml:space="preserve">  (i)  affects the Members disproportionately; or</w:t>
        <w:br/>
        <w:t xml:space="preserve">  (ii) materially and adversely affects the rights of the Members, will require the affirmative vote or consent of the Manager and the holders of Outstanding Common Shares of the Company representing at least three-fourths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 xml:space="preserve">  (iv) to be necessary or appropriate in connection with action taken by the Manager pursuant to Section 3.8; or</w:t>
        <w:br/>
        <w:t xml:space="preserve">  28</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w:t>
        <w:br/>
        <w:t xml:space="preserve">  (l) an amendment to the definition of “Market Price” set forth in this Agreement; and</w:t>
        <w:br/>
        <w:t xml:space="preserve">  (m)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w:t>
        <w:br/>
        <w:t xml:space="preserve">  (i)  enlarge the obligations of any Member without its consent, unless such shall be deemed to have occurred as a result of an amendment approved pursuant to Section 9.3(c);</w:t>
        <w:br/>
        <w:t xml:space="preserve">  (ii) change Section 8.1(a);</w:t>
        <w:br/>
        <w:t xml:space="preserve">  (iii) change the term of the Company; or,</w:t>
        <w:br/>
        <w:t xml:space="preserve">  (iv) except as set forth in Section 8.1(a), give any Person the right to dissolve the Company. </w:t>
        <w:br/>
        <w:t xml:space="preserve">  29</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30</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31</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 </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32</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 The Manager and its officers may rely and shall be protected in relying on any notice or other document from a Member or other Person if believed by it to be genuine.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w:t>
        <w:br/>
        <w:t xml:space="preserve">  Section 12.8. Applicable Law. This Agreement shall be construed in accordance with and governed by the laws of the State of Delaware without regard to principles of conflict of laws. Each Member:</w:t>
        <w:br/>
        <w:t xml:space="preserve">  (i)   irrevocably submits to the non-exclusive jurisdiction and venue of any Delaware state court or U.S. federal court sitting in Wilmington, Delaware in any action arising out of this Agreement; and</w:t>
        <w:br/>
        <w:t xml:space="preserve">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33</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New York City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Arrived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34</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(i)  suspension, termination, revocation, closure, or amendments to this Agreement and the relationship of the parties;</w:t>
        <w:br/>
        <w:t xml:space="preserve">  (ii)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 xml:space="preserve">  35</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36</w:t>
        <w:br/>
        <w:t xml:space="preserve">    “Initial Offering” shall mean the first issuance and sale for cash of Common Shares of the Company to any Person other than an Affiliate of the Company pursuant to:</w:t>
        <w:br/>
        <w:t xml:space="preserve">  (i) a public offering registered under the Securities Act; or</w:t>
        <w:br/>
        <w:t xml:space="preserve">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37</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 </w:t>
        <w:br/>
        <w:t xml:space="preserve">  (ii)    </w:t>
        <w:br/>
        <w:t xml:space="preserve">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 xml:space="preserve">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(A) would result in the Company owning (actually or Constructively) an interest in a tenant that is described in Section 856(d)(2)(B) of the Code; or</w:t>
        <w:br/>
        <w:t xml:space="preserve">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38</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 </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39</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40</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 </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Arrived SFR Genesis Fund,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41</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 </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(i)  to rescind as void any vote cast by a Prohibited Owner prior to the discovery by the Company that the Shares have been transferred to the Trustee; and</w:t>
        <w:br/>
        <w:t xml:space="preserve">  (ii)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 xml:space="preserve">  (1)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(2) the price per Share received by the Trustee (net of any commissions and other expenses of sale) from the sale or other disposition of the Shares held in the Trust.</w:t>
        <w:br/>
        <w:t xml:space="preserve">  42</w:t>
        <w:br/>
        <w:t xml:space="preserve">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(i)  such Shares shall be deemed to have been sold on behalf of the Trust; and</w:t>
        <w:br/>
        <w:t xml:space="preserve">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 </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43</w:t>
        <w:br/>
        <w:t xml:space="preserve">    IN WITNESS WHEREOF, this Agreement has been executed as of the date first written above.</w:t>
        <w:br/>
        <w:t xml:space="preserve">    MANAGER:</w:t>
        <w:br/>
        <w:t xml:space="preserve">      Arrived Fund Manager, LLC</w:t>
        <w:br/>
        <w:t xml:space="preserve">        By: /s/ Xxxx Xxxxxxx</w:t>
        <w:br/>
        <w:t xml:space="preserve">    Name: Xxxx Xxxxxxx</w:t>
        <w:br/>
        <w:t xml:space="preserve">    Title: Chief Executive Officer</w:t>
        <w:br/>
        <w:t xml:space="preserve">        INITIAL MEMBER:</w:t>
        <w:br/>
        <w:t xml:space="preserve">      Arrived Holdings, Inc.</w:t>
        <w:br/>
        <w:t xml:space="preserve">        By: /s/ Xxxx Xxxxxxx</w:t>
        <w:br/>
        <w:t xml:space="preserve">    Name:  Xxxx Xxxxxxx</w:t>
        <w:br/>
        <w:t xml:space="preserve">    Title: Chief Executive Officer</w:t>
        <w:br/>
        <w:t xml:space="preserve">  [Signature Page to Amended and Restated Operating Agreement of Arrived SFR Genesis Fund, LLC]</w:t>
        <w:br/>
        <w:t xml:space="preserve">    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