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2.3</w:t>
        <w:br/>
        <w:t xml:space="preserve">  SECOND AMENDED AND RESTATED</w:t>
        <w:br/>
        <w:t xml:space="preserve">  OPERATING AGREEMENT</w:t>
        <w:br/>
        <w:t xml:space="preserve">  OF</w:t>
        <w:br/>
        <w:t xml:space="preserve">  FUNDRISE DEVELOPMENT EREIT, LLC</w:t>
        <w:br/>
        <w:t xml:space="preserve">  Dated as of August 3, 2021</w:t>
        <w:br/>
        <w:t xml:space="preserve">        TABLE OF CONTENTS</w:t>
        <w:br/>
        <w:t xml:space="preserve">        Page</w:t>
        <w:br/>
        <w:t>ARTICLE I DEFINITIONS 1</w:t>
        <w:br/>
        <w:t xml:space="preserve">  Section 1.1. Definitions 1</w:t>
        <w:br/>
        <w:t>Section 1.2. Construction 6</w:t>
        <w:br/>
        <w:t xml:space="preserve">    ARTICLE II ORGANIZATION 6</w:t>
        <w:br/>
        <w:t xml:space="preserve">    Section 2.1. Formation 6</w:t>
        <w:br/>
        <w:t>Section 2.2. Name 6</w:t>
        <w:br/>
        <w:t>Section 2.3.  Registered Office; Registered Agent; Principal Office; Other Offices 6</w:t>
        <w:br/>
        <w:t>Section 2.4. Purposes 7</w:t>
        <w:br/>
        <w:t>Section 2.5.  Qualification in Other Jurisdictions 7</w:t>
        <w:br/>
        <w:t>Section 2.6.  Powers 7</w:t>
        <w:br/>
        <w:t>Section 2.7.  Power of Attorney 7</w:t>
        <w:br/>
        <w:t>Section 2.8.  Term 8</w:t>
        <w:br/>
        <w:t>Section 2.9.  Certificate of Formation 9</w:t>
        <w:br/>
        <w:t xml:space="preserve">    ARTICLE III MEMBERS AND SHARES 9</w:t>
        <w:br/>
        <w:t xml:space="preserve">    Section 3.1. Members 9</w:t>
        <w:br/>
        <w:t>Section 3.2.  Authorization to Issue Shares 10</w:t>
        <w:br/>
        <w:t>Section 3.3. Certificates 11</w:t>
        <w:br/>
        <w:t>Section 3.4. Record Holders 12</w:t>
        <w:br/>
        <w:t>Section 3.5.  Registration and Transfer of Shares 12</w:t>
        <w:br/>
        <w:t>Section 3.6.  Splits and Combinations 13</w:t>
        <w:br/>
        <w:t>Section 3.7.  ERISA 14</w:t>
        <w:br/>
        <w:t>Section 3.8.  Agreements 14</w:t>
        <w:br/>
        <w:t xml:space="preserve">    ARTICLE IV DISTRIBUTIONS AND REDEMPTIONS 14</w:t>
        <w:br/>
        <w:t xml:space="preserve">    Section 4.1.  Distributions to Record Holders 14</w:t>
        <w:br/>
        <w:t>Section 4.2.  Distributions in Kind 14</w:t>
        <w:br/>
        <w:t>Section 4.3.  Valuations of In-Kind Distributions 15</w:t>
        <w:br/>
        <w:t>Section 4.4.  Redemption in Connection with ERISA 15</w:t>
        <w:br/>
        <w:t>Section 4.5.  Personal Conduct Repurchase Right 15</w:t>
        <w:br/>
        <w:t>Section 4.6.  Redemption Plan 16</w:t>
        <w:br/>
        <w:t>Section 4.7.  Payment of Taxes 16</w:t>
        <w:br/>
        <w:t>Section 4.8.  Absence of Certain Other Rights 16</w:t>
        <w:br/>
        <w:t>Section 4.9.  Fee Waiver Support 16</w:t>
        <w:br/>
        <w:t xml:space="preserve">    ARTICLE V MANAGEMENT AND OPERATION OF BUSINESS 17</w:t>
        <w:br/>
        <w:t xml:space="preserve">    Section 5.1. Power and Authority of the Manager 17</w:t>
        <w:br/>
        <w:t>Section 5.2. Term and Removal of the Manager 20</w:t>
        <w:br/>
        <w:t>Section 5.3.  Determinations by the Manager 21</w:t>
        <w:br/>
        <w:t>Section 5.4. Exculpation, Indemnification, Advances and Insurance 22</w:t>
        <w:br/>
        <w:t>Section 5.5.  Duties of the Manager and its Officers and Directors 25</w:t>
        <w:br/>
        <w:t>Section 5.6. Standards of Conduct and Modification of Duties of the Manager 25</w:t>
        <w:br/>
        <w:t>Section 5.7.  Outside Activities 26</w:t>
        <w:br/>
        <w:t>Section 5.8.  Reliance by Third Parties 26</w:t>
        <w:br/>
        <w:t>Section 5.9. Certain Conflicts of Interest 26</w:t>
        <w:br/>
        <w:t>Section 5.10. Fees Payable to the Manager or its Affiliates 27</w:t>
        <w:br/>
        <w:t>Section 5.11.  Reimbursement of Expenses 28</w:t>
        <w:br/>
        <w:t>Section 5.12.  Semi-Annual Determination of Net Asset Value 29</w:t>
        <w:br/>
        <w:t xml:space="preserve">  i</w:t>
        <w:br/>
        <w:t xml:space="preserve">    ARTICLE VI BOOKS, RECORDS, ACCOUNTING AND REPORTS 29</w:t>
        <w:br/>
        <w:t xml:space="preserve">    Section 6.1.  Records and Accounting 29</w:t>
        <w:br/>
        <w:t>Section 6.2.  Fiscal Year 30</w:t>
        <w:br/>
        <w:t>Section 6.3. Reports 30</w:t>
        <w:br/>
        <w:t xml:space="preserve">    ARTICLE VII TAX MATTERS 30</w:t>
        <w:br/>
        <w:t xml:space="preserve">    Section 7.1.  Qualifying and Maintaining Qualification as a REIT 30</w:t>
        <w:br/>
        <w:t xml:space="preserve">    ARTICLE VIII DISSOLUTION, TERMINATION AND LIQUIDATION 30</w:t>
        <w:br/>
        <w:t xml:space="preserve">    Section 8.1. Dissolution and Termination 30</w:t>
        <w:br/>
        <w:t>Section 8.2. Liquidator 31</w:t>
        <w:br/>
        <w:t>Section 8.3. Liquidation of the Company 31</w:t>
        <w:br/>
        <w:t>Section 8.4. Cancellation of Certificate of Formation 32</w:t>
        <w:br/>
        <w:t>Section 8.5. Return of Contributions 32</w:t>
        <w:br/>
        <w:t>Section 8.6. Waiver of Partition 32</w:t>
        <w:br/>
        <w:t xml:space="preserve">    ARTICLE IX AMENDMENT OF AGREEMENT 32</w:t>
        <w:br/>
        <w:t xml:space="preserve">    Section 9.1. General 32</w:t>
        <w:br/>
        <w:t>Section 9.2. Super-Majority Amendments 33</w:t>
        <w:br/>
        <w:t>Section 9.3. Amendments to be Adopted Solely by the Manager 33</w:t>
        <w:br/>
        <w:t>Section 9.4. Certain Amendment Requirements 34</w:t>
        <w:br/>
        <w:t xml:space="preserve">    ARTICLE X MERGER, CONSOLIDATION OR CONVERSION 35</w:t>
        <w:br/>
        <w:t xml:space="preserve">    Section 10.1. Authority 35</w:t>
        <w:br/>
        <w:t>Section 10.2. Procedure for Merger, Consolidation or Conversion 35</w:t>
        <w:br/>
        <w:t>Section 10.3. No Dissenters’ Rights of Appraisal 36</w:t>
        <w:br/>
        <w:t>Section 10.4. Certificate of Merger or Conversion 36</w:t>
        <w:br/>
        <w:t>Section 10.5. Effect of Merger 36</w:t>
        <w:br/>
        <w:t>Section 10.6. Roll-Up Transaction or Public Listing 36</w:t>
        <w:br/>
        <w:t xml:space="preserve">    ARTICLE XI MEMBERS’ VOTING POWERS AND MEETING 37</w:t>
        <w:br/>
        <w:t xml:space="preserve">    Section 11.1. Voting 37</w:t>
        <w:br/>
        <w:t>Section 11.2. Voting Powers 37</w:t>
        <w:br/>
        <w:t>Section 11.3. Meetings 37</w:t>
        <w:br/>
        <w:t>Section 11.4. Record Dates 37</w:t>
        <w:br/>
        <w:t>Section 11.5. Quorum and Required Vote 38</w:t>
        <w:br/>
        <w:t>Section 11.6. Action by Written Consent 38</w:t>
        <w:br/>
        <w:t>Section 11.7. Classes and Series 38</w:t>
        <w:br/>
        <w:t xml:space="preserve">  ii</w:t>
        <w:br/>
        <w:t xml:space="preserve">    ARTICLE XII GENERAL PROVISIONS 38</w:t>
        <w:br/>
        <w:t xml:space="preserve">    Section 12.1. Addresses and Notices 38</w:t>
        <w:br/>
        <w:t>Section 12.2. Further Action 39</w:t>
        <w:br/>
        <w:t>Section 12.3. Binding Effect 39</w:t>
        <w:br/>
        <w:t>Section 12.4. Integration 39</w:t>
        <w:br/>
        <w:t>Section 12.5. Creditors 39</w:t>
        <w:br/>
        <w:t>Section 12.6. Waiver 39</w:t>
        <w:br/>
        <w:t>Section 12.7. Counterparts 39</w:t>
        <w:br/>
        <w:t>Section 12.8. Applicable Law 39</w:t>
        <w:br/>
        <w:t>Section 12.9. Invalidity of Provisions 40</w:t>
        <w:br/>
        <w:t>Section 12.10. Consent of Members 40</w:t>
        <w:br/>
        <w:t>Section 12.11. Facsimile and Electronic Signatures 40</w:t>
        <w:br/>
        <w:t>Section 12.12. Assignment 40</w:t>
        <w:br/>
        <w:t xml:space="preserve">    ARTICLE XIII RESTRICTIONS ON TRANSFER AND OWNERSHIP OF SHARES 40</w:t>
        <w:br/>
        <w:t xml:space="preserve">    Section 13.1. Definitions 40</w:t>
        <w:br/>
        <w:t>Section 13.2. Ownership Limitations 42</w:t>
        <w:br/>
        <w:t>Section 13.3. Remedies for Breach 43</w:t>
        <w:br/>
        <w:t>Section 13.4. Notice of Restricted Transfer 44</w:t>
        <w:br/>
        <w:t>Section 13.5. Owners Required To Provide Information 44</w:t>
        <w:br/>
        <w:t>Section 13.6. Remedies Not Limited 44</w:t>
        <w:br/>
        <w:t>Section 13.7. Ambiguity 45</w:t>
        <w:br/>
        <w:t>Section 13.8. Exceptions 45</w:t>
        <w:br/>
        <w:t>Section 13.9. Increase or Decrease in Aggregate Ownership and Common Share Ownership Limits 46</w:t>
        <w:br/>
        <w:t>Section 13.10. Legend 47</w:t>
        <w:br/>
        <w:t>Section 13.11. Transfer of Shares in Trust 48</w:t>
        <w:br/>
        <w:t>Section 13.12. Enforcement 49</w:t>
        <w:br/>
        <w:t>Section 13.13. Non-Waiver 50</w:t>
        <w:br/>
        <w:t>Section 13.14. Severability 50</w:t>
        <w:br/>
        <w:t xml:space="preserve">  iii</w:t>
        <w:br/>
        <w:t xml:space="preserve">     This SECOND AMENDED AND RESTATED OPERATING AGREEMENT OF FUNDRISE DEVELOPMENT eREIT, LLC is dated as of August 3, 2021. Capitalized terms used herein without definition shall have the respective meanings ascribed thereto in Section 1.1 or Section 13.1.</w:t>
        <w:br/>
        <w:t xml:space="preserve">  WHEREAS, the Company was originally formed as Fundrise Growth eREIT 2019, LLC under the Delaware Act pursuant to that certain Certificate of Formation filed with the Secretary of State of the State of Delaware on February 1, 2019, as amended by that certain Certificate of Amendment filed with the Secretary of State of the State of Delaware on August 3, 2021 (the “Certificate of Formation”), and that certain Limited Liability Company Operating Agreement of Fundrise Growth eREIT 2019, LLC, dated as of February 1, 2019, as amended by that certain Amended and Restated Operating Agreement dated as of May 30, 2019 (the “Original Operating Agreement”);</w:t>
        <w:br/>
        <w:t xml:space="preserve">  WHEREAS, the Manager has authorized and approved an amendment and restatement of the Original Operating Agreement on the terms set forth herein.</w:t>
        <w:br/>
        <w:t xml:space="preserve">  NOW THEREFORE, the Original Operating Agreement of the Company is hereby amended and restated to read in its entirety as follows:</w:t>
        <w:br/>
        <w:t xml:space="preserve">  ARTICLE I</w:t>
        <w:br/>
        <w:t xml:space="preserve">  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 </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Second Amended and Restated Operating Agreement of Fundrise Development eREIT, LLC, as it may be amended, modified, supplemented or restated from time to time.</w:t>
        <w:br/>
        <w:t xml:space="preserve">  “Business Day” means Monday through Friday of each week, except that a legal holiday recognized as such by the government of the United States of America or the District of Columbia shall not be regarded as a Business Day.</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“Commission” means the United States Securities and Exchange Commission.</w:t>
        <w:br/>
        <w:t xml:space="preserve">  “Common Shares” means any Shares of the Company that are not Preferred Shares.</w:t>
        <w:br/>
        <w:t xml:space="preserve">  “Company” means Fundrise Development eREIT, LLC, a Delaware limited liability company, and any successors thereto.</w:t>
        <w:br/>
        <w:t xml:space="preserve">  “Conflict of Interest” means (i) any matter that the Manager believes may involve a conflict of interest that is not otherwise addressed by the Company’s conflicts of interest policy, or (ii)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“Fee Waiver Period” has the meaning assigned to such term in Section 5.4(a)4.9.</w:t>
        <w:br/>
        <w:t xml:space="preserve">  2 </w:t>
        <w:br/>
        <w:t xml:space="preserve">    “Fundrise Platform” means the online investment platform located at xxx.xxxxxxxx.xxx, which is owned and operated by Fundrise, LLC, an affiliate of the Sponsor.</w:t>
        <w:br/>
        <w:t xml:space="preserve">  “Governmental Entity” means any court, administrative agency, regulatory body, commission or other governmental authority, board, bureau or instrumentality, domestic or foreign and any subdivision thereof.</w:t>
        <w:br/>
        <w:t xml:space="preserve">  “Indemnified Person” means (a) any Person who is or was an officer of the Company, if any, (b) the Manager, together with its officers, directors, members and managers, (c) the Sponsor, together with its officers, directors, shareholders and Affiliates, (d) any Person who is or was serving at the request of the Company as an officer, director, member, manager, partner, tax matters partner, fiduciary or trustee of another Person (including any Subsidiary); provided, that a Person shall not be an Indemnified Person by reason of providing, on a fee-for-services basis, trustee, fiduciary or custodial services, and (e) any Person the Manager designates as an “Indemnified Person” for purposes of this Agreement.</w:t>
        <w:br/>
        <w:t xml:space="preserve">  “Independent Representative” means an independent representative appointed by the Manager to review and approve certain transactions involving a Conflict of Interest in order to protect the interests of the Company and the Members.</w:t>
        <w:br/>
        <w:t xml:space="preserve">  “Initial Member” means Rise Companies Corp., a Delaware corporation.</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8.2 as liquidating trustee of the Company, as applicable, within the meaning of the Delaware Act.</w:t>
        <w:br/>
        <w:t xml:space="preserve">  “Manager” means Fundrise Advisors, LLC, a Delaware limited liability company and a wholly-owned subsidiary of the Sponsor.</w:t>
        <w:br/>
        <w:t xml:space="preserve">  “Market Price” means, with respect to the Common Shares on a particular date, $10.00 per Common Share until December 31, 2019. Thereafter, the Market Price will be adjusted every semi-annual period, or such other period as determined by the Manager in its sole discretion, but no less frequently than annually, and, as of January 1st and July 1st of each year (or as soon as commercially reasonable and announced by us thereafter), will equal the greater of (i) $10.00 per share or (ii) the sum of our net asset value, or NAV, divided by the number of our common shares outstanding as of the end of the prior semi-annual period, as determined in accordance with Section 5.12 and disclosed by the Company in either a pricing supplement filed by the Company with the Commission or on the Company’s website (NAV per share).</w:t>
        <w:br/>
        <w:t xml:space="preserve">  “Member” means each member of the Company, including, unless the context otherwise requires, the Initial Member, each Substitute Member and each Additional Member.</w:t>
        <w:br/>
        <w:t xml:space="preserve">  “Merger Agreement” has the meaning assigned to such term in Section 10.1.</w:t>
        <w:br/>
        <w:t xml:space="preserve">   “NAV” has the meaning assigned to such term in Section 5.12.</w:t>
        <w:br/>
        <w:t xml:space="preserve">  “Offering” has the meaning assigned to such term in Section 5.1(b).</w:t>
        <w:br/>
        <w:t xml:space="preserve">  3 </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024-10843) filed by the Company with the Commission on March 11, 2019, and the offering circular filed pursuant to Rule 253(g)(2) of the Securities Act on May 30, 2019, pursuant to which the Company has qualified for sale a maximum of $50,000,000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“Operating Agreement” has the meaning set forth in the recitals to this Agreement.</w:t>
        <w:br/>
        <w:t xml:space="preserve">  “Opinion of Counsel” means a written opinion of counsel (who may be regular counsel to the Company or any of its Affiliates) acceptable to the Manager.</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“Plan of Conversion” has the meaning assigned to such term in Section 10.1.</w:t>
        <w:br/>
        <w:t xml:space="preserve">  “Plan Member” means each Member any of the assets of which are subject to any Plan Governing Law.</w:t>
        <w:br/>
        <w:t xml:space="preserve">  “Plan Governing Law” means any of (a) Title I of ERISA, (b) Code Section 4975 or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entitles the Record Holders thereof to a preference or priority over the Record Holders of any other class of Shares of the Company in (i) the right to share profits or losses or items thereof, (ii) the right to share in distributions, or (iii) rights upon termination or liquidation of the Company (including in connection with the dissolution or liquidation of the Company). “Preferred Shares” shall not include Common Shares.</w:t>
        <w:br/>
        <w:t xml:space="preserve">  4 </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 (a) the identity of the Record Holders entitled to notice of, or to vote at, any meeting of Members or entitled to exercise rights in respect of any lawful action of Members or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4.6.</w:t>
        <w:br/>
        <w:t xml:space="preserve">  “REIT” means a real estate investment trust within the meaning of Sections 856 through 860 of the Code.</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Rise Companies Corp., a Delaware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w:t>
        <w:br/>
        <w:t xml:space="preserve">  “Surviving Business Entity” has the meaning assigned to such term in Section 10.2(a)(ii).</w:t>
        <w:br/>
        <w:t xml:space="preserve">  5 </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 “include” or “includes” means includes, without limitation, and “including” means including, without limitation.</w:t>
        <w:br/>
        <w:t xml:space="preserve">  ARTICLE II</w:t>
        <w:br/>
        <w:br/>
        <w:t>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Section 2.2.          Name. The name of the Company shall be “Fundrise Development eREIT,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w:t>
        <w:br/>
        <w:t xml:space="preserve">  Section 2.3.          Registered Office; Registered Agent; Principal Office; Other Offices. Unless and until changed by the Manager, the address of the registered office of the Company in the State of Delaware is 0000 Xxxxxxx Xxxx #000, Xxxx xx Xxxxxxxxxx, Xxxxxx of Newcastle, 19803, and the name of its registered agent at such address is United States Corporation Agents, Inc. The principal office of the Company shall be located at 0000 Xxxxxxxxxxx Xxxxxx, XX, Xxxxx 000, Xxxxxxxxxx, X.X. 00000 or such other place as the Manager may from time to time designate by notice to the Members. The Company may maintain offices at such other place or places within or outside the State of Delaware as the Manager determines to be necessary or appropriate.</w:t>
        <w:br/>
        <w:t xml:space="preserve">  6 </w:t>
        <w:br/>
        <w:t xml:space="preserve">    Section 2.4.          Purposes. The purposes of the Company shall be to (a) promote, conduct or engage in, directly or indirectly, any business, purpose or activity that lawfully may be conducted by a limited liability company organized pursuant to the Delaware Act, (b) acquire, hold and dispose of interests in any corporation, partnership, joint venture, limited liability company, trust or other entity and, in connection therewith, to exercise all of the rights and powers conferred upon the Company with respect to its interests therein, and (c)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Manager or the Liquidator determines to be necessary or appropriate to reflect, in accordance with its terms, any amendment, change, modification or restatement of this Agreement;</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7 </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 (i) make, evidence, give, confirm or ratify any vote, consent, approval, agreement or other action that is made or given by the Members hereunder or is consistent with the terms of this Agreement or (ii) effectuate the terms or intent of this Agreement;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(c)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8 </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ARTICLE III</w:t>
        <w:br/>
        <w:br/>
        <w:t>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9 </w:t>
        <w:br/>
        <w:t xml:space="preserve">    (d)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(e)               Except to the extent expressly provided in this Agreement (including any Share Designation):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 (ii) no Member holding any class or series, if any, of any Shares of the Company shall have priority over any other Member holding the same class or series of Shares either as to the return of Capital Contributions or as to distributions; (iii) no interest shall be paid by the Company on Capital Contributions; and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10 </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500 Common Shares. In addition, an affiliate of the Sponsor purchased an aggregate of 9,500 Common Shares of the Company at $10.00 per share in a private placement.</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w:t>
        <w:br/>
        <w:t xml:space="preserve">  11 </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 (i) makes proof by affidavit, in form and substance satisfactory to the Company, that a previously issued Certificate has been lost, destroyed or stolen; (ii) requests the issuance of a new Certificate before the Company has notice that the Certificate has been acquired by a purchaser for value in good faith and without notice of an adverse claim;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12 </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w:t>
        <w:br/>
        <w:t xml:space="preserve">  (d)            By acceptance of the transfer of any Share, each transferee of a Share (including any nominee holder or an agent or representative acquiring such Shares for the account of another Person) (i) shall be admitted to the Company as a Substitute Member with respect to the Shares so transferred to such transferee when any such transfer or admission is reflected in the books and records of the Company, (ii) shall be deemed to agree to be bound by the terms of this Agreement, (iii) shall become the Record Holder of the Shares so transferred, (iv) grants powers of attorney to the Manager and any Liquidator of the Company, as specified herein, and (v) makes the consents and waivers contained in this Agreement. The transfer of any Shares and the admission of any new Member shall not constitute an amendment to this Agreement.</w:t>
        <w:br/>
        <w:t xml:space="preserve">  (e)               Notwithstanding the foregoing, so long as (i) Fundrise Advisors, LLC, or one of its Affiliates, remains the Manager of the Company, and (ii) access to the Fundrise Platform and the ability to open accounts thereon is reasonably available to potential transferees, no transfer of Shares shall be valid unless the transferee has established an account on the Fundrise Platform.</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w:t>
        <w:br/>
        <w:t xml:space="preserve">  13 </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ARTICLE IV</w:t>
        <w:br/>
        <w:br/>
        <w:t>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directly or through its Transfer Agent, if any, or through any other Person or agent,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 xml:space="preserve">  Section 4.2.          Distributions in Kind. Subject to the terms of any Share Designation or to the preferential rights, if any, of holders of any other class of Shares, the Company may declare and pay distributions to holders of Shares that consist of (1) Common Shares and/or (2) other securities or assets held by the Company or any of its subsidiaries.</w:t>
        <w:br/>
        <w:t xml:space="preserve">  14 </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 xml:space="preserve">  Section 4.5.          Personal Conduct Repurchase Right.</w:t>
        <w:br/>
        <w:t xml:space="preserve">  (a)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4.5, the Company shall, within fifteen (15) business days of the Manager’s election, send written notice to the applicable Member stating that the Company is exercising its right to repurchase such Shares pursuant to Section 4.5 of this Agreement.</w:t>
        <w:br/>
        <w:t xml:space="preserve">  (c)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w:t>
        <w:br/>
        <w:t xml:space="preserve">  15 </w:t>
        <w:br/>
        <w:t xml:space="preserve">    Section 4.6.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Section 4.7.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Section 4.9.          Fee Waiver Support. Substantially concurrently with the execution of the Original Agreement, the Manager entered into that certain Fee Waiver Support Agreement that provides that, subject to the terms and conditions contained therein and for a period until June 30, 2019 (the “Fee Waiver Period”), the Manager shall waive its asset management fee during the Fee Waiver Period. Following the conclusion of the Fee Waiver Period, the Manager may, in its sole discretion, waive its asset management fee, in whole or in part. The Manager will forfeit any portion of the asset management fee that is waived.</w:t>
        <w:br/>
        <w:t xml:space="preserve">  16 </w:t>
        <w:br/>
        <w:t xml:space="preserve">    ARTICLE V</w:t>
        <w:br/>
        <w:t xml:space="preserve">  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(a)               Investment Advisory, Origination and Acquisition Services. The Manager shall:</w:t>
        <w:br/>
        <w:t xml:space="preserve">  (i)                 approve and oversee the Company’s overall investment strategy, which will consist of elements such as investment selection criteria, diversification strategies and asset disposition strategies;</w:t>
        <w:br/>
        <w:t xml:space="preserve">  (ii)              serve as the Company’s investment and financial manager with respect to originating, investing in and managing a diversified portfolio of commercial real estate loans, preferred equity investments in commercial real estate and other select commercial real estate investments and real estate-related assets;</w:t>
        <w:br/>
        <w:t xml:space="preserve">  (iii)            adopt and periodically review the Company’s investment guidelines;</w:t>
        <w:br/>
        <w:t xml:space="preserve">  (iv)             structure the terms and conditions of the Company’s acquisitions, sales and joint ventures;</w:t>
        <w:br/>
        <w:t xml:space="preserve">  (v)               enter into leases and service contracts for the properties and other investments;</w:t>
        <w:br/>
        <w:t xml:space="preserve">  (vi)             approve and oversee the Company’s debt financing strategies;</w:t>
        <w:br/>
        <w:t xml:space="preserve">  (vii)            approve joint ventures, limited partnerships and other such relationships with third parties;</w:t>
        <w:br/>
        <w:t xml:space="preserve">  (viii)          approve any potential liquidity transaction;</w:t>
        <w:br/>
        <w:t xml:space="preserve">  (ix)             obtain market research and economic and statistical data in connection with the Company’s investments and investment objectives and policies;</w:t>
        <w:br/>
        <w:t xml:space="preserve">  (x)               oversee and conduct due diligence processes related to prospective investments;</w:t>
        <w:br/>
        <w:t xml:space="preserve">  17 </w:t>
        <w:br/>
        <w:t xml:space="preserve">    (xi)             prepare reports regarding prospective investments that include recommendations and supporting documentation necessary for the Manager’s investment committee to evaluate the proposed investments; and</w:t>
        <w:br/>
        <w:t xml:space="preserve">  (xii)          negotiate and execute approved investments and other transactions.</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developers, construction companies and any and all persons acting in any other capacity deemed by the Manager necessary or desirable for the performance of any of the foregoing services;</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 xml:space="preserve">  18 </w:t>
        <w:br/>
        <w:t xml:space="preserve">    (v)               coordinate and manage relationships between the Company and any joint venture partners.</w:t>
        <w:br/>
        <w:t xml:space="preserve">  (d)               Accounting and Other Administrative Services. The Manager shall:</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(vii)          make, change, and revoke such tax elections on behalf of the Company as the Manager deems appropriate, including, without limitation, (i) making an election be treated as a REIT or to revoke such status and (ii)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(xii)          provide timely updates related to the overall regulatory environment affecting the Company, as well as managing compliance with regulatory matters;</w:t>
        <w:br/>
        <w:t xml:space="preserve">  (xiii)        evaluate the corporate governance structure of the Company and appropriate policies and procedures related thereto; and</w:t>
        <w:br/>
        <w:t xml:space="preserve">  19 </w:t>
        <w:br/>
        <w:t xml:space="preserve">    (xiv)         oversee all reporting, record keeping, internal controls and similar matters in a manner to allow the Company to comply with applicable law.</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20 </w:t>
        <w:br/>
        <w:t xml:space="preserve">    (c)               The Members shall have the power to remove the Manager for “cause” upon the affirmative vote or consent of the holders of two-thirds (2/3)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(iv)             the dissolution of the Manager.</w:t>
        <w:br/>
        <w:t xml:space="preserve">  Unsatisfactory financial performance of the Company does not constitute “cause” under this Agreement.</w:t>
        <w:br/>
        <w:t xml:space="preserve">  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w:t>
        <w:br/>
        <w:t xml:space="preserve">  21 </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tax matters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tax matters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22 </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23 </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24 </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Manager and its Officers and Directors.</w:t>
        <w:br/>
        <w:t xml:space="preserve">  (a)               Except as otherwise expressly provided in this Agreement or required by the Delaware Act, (i) the duties and obligations owed to the Company by the Manager and its officers and directors shall be the same as the duties and obligations owed to a corporation organized under DGCL by its officers and directors, respectively, and (ii) the duties and obligations owed to the Members by the Manager and its officers and directors shall be the same as the duties and obligations owed to the stockholders of a corporation under the DGCL by its officers and directors, respectively. </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25 </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provided, however, that the Company may not purchase investments from Fundrise Lending, LLC, or its Affiliates without a determination by the Independent Representative that such transaction is fair and reasonable to the Company and at a price to the Company that is not materially greater than the cost of the asset to Fundrise Lending, LLC, or its Affiliate, as applicable.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26 </w:t>
        <w:br/>
        <w:t xml:space="preserve">        Section 5.10.      Fees Payable to the Manager or its Affiliates. The Manager or its Affiliates shall be entitled to receive the fees set forth in this Section 5.10. The Manager or its Affiliates, in their sole discretion may defer or waive any fee payable to it under this Agreement.  All or any portion of any deferred fees will be deferred without interest and paid when the Manager determines.</w:t>
        <w:br/>
        <w:t xml:space="preserve">  (a)         Asset Management Fee. Asset management fee payable quarterly in arrears equal to an annualized rate of 0.85%, which, beginning on December 31, 2019, will be based on the Company’s NAV, as calculated pursuant to Section 5.12, at the end of each prior semi-annual period (or such other period as determined by the Manager in its sole discretion, but no less frequently than annually), and which cannot exceed an annualized rate of 1.00%. The Manager may, in its sole discretion, waive its asset management fee, in whole or in part. The Manager will forfeit any portion of the asset management fee that it waives. The amount of the asset management fee may vary from time to time, and the Company will publicly report any changes in the asset management fee.</w:t>
        <w:br/>
        <w:t xml:space="preserve">  (b)         Special Servicing Fee. The Company will reimburse the Manager for actual expenses incurred on the Company’s behalf in connection with the special servicing of non-performing assets. Whether an asset is deemed to be non-performing is in the sole discretion of the Manager.  </w:t>
        <w:br/>
        <w:t xml:space="preserve">  (c)          Acquisition / Origination Fees. Co-investors will pay up to 2.0% of any amounts funded by the Company, the Sponsor or Affiliates of the Sponsor to acquire or originate real estate properties, excluding any acquisition and origination expenses and any debt attributable to such investments. To the extent the Company invests in commercial real estate loans, which is not expected to be the Company’s primary strategy, the borrower will pay up to 2.0% of the amount funded by the Company, the Sponsor or Affiliates of the Sponsor to acquire or originate such commercial real estate loans.</w:t>
        <w:br/>
        <w:t xml:space="preserve">  (d)         Disposition Fees. The Company will reimburse the Manager for actual expenses incurred on our behalf in connection with the liquidation of equity investments in real estate, and the Company will pay up to 1.50% of the gross proceeds from such sale if the Manager is acting as the real estate developer or is engaged by the developer to sell the project.</w:t>
        <w:br/>
        <w:t xml:space="preserve">  27 </w:t>
        <w:br/>
        <w:t xml:space="preserve">    Section 5.11.      Reimbursement of Expenses. The Company shall pay or reimburse the Manager and its Affiliates for the following:</w:t>
        <w:br/>
        <w:t xml:space="preserve">  (a)               Formation Expenses. All third party charges and out-of-pocket costs and expenses (collectively, “Formation Expenses”) incurred by the Company, the Manager and its Affiliates in connection with the formation of the Company, the offering of Shares, and the admission of investors in the Company, including, without limitation, travel, legal, accounting, filing, advertising and all other expenses incurred in connection with the offer and sale of interests in the Company. Reimbursement shall be made, without interest, to the Manager beginning on the date of the Initial Offering for Formation Expenses incurred both before and after that date.  Reimbursement payments will be made in monthly installments, but the aggregate monthly amount reimbursed shall not exceed 0.50% of the aggregate gross proceeds from an Offering. If the sum of the total unreimbursed amount of such Formation Expenses, plus new costs incurred since the last reimbursement payment, exceeds the reimbursement limit described above for the applicable monthly installment, the excess will be eligible for reimbursement in subsequent months (subject to the 0.50% limit), calculated on an accumulated basis, until the Manager has been reimbursed in full.</w:t>
        <w:br/>
        <w:t xml:space="preserve">  (b)               Operating Expenses. All third party charges and out-of-pocket costs and expenses incurred by the Manager or its Affiliate that are related to the operations of the Company, including, without limitation, those related to (i) forming and operating Subsidiaries, (ii) the investigation of investment opportunities, whether or not consummated, and whether incurred before or after the formation of the Company, (iii) the acquisition, ownership, management, financing, hedging of interest rates on financings, or sale of investments, (iv) meetings with or reporting to Members, (v) accounting, auditing, research, consulting, tax return preparation, financial reporting, and legal services, risk management services and insurance, including without limitation to protect the Company, the Manager, its Affiliates, and Members in connection with the performance of activities related to Company, (vi) the Company’s indemnification of the Indemnified Parties pursuant to this Agreement, (vii) litigation, (viii) borrowings of the Company, (ix) liquidating the Company, (x) any taxes, fees or other governmental charges levied against the Company and all expenses incurred in connection with any tax audit, investigation, settlement or review of the Company, (xi) travel costs associated with investigating and evaluating investment opportunities (whether or not consummated) or making, monitoring, managing or disposing of investments, and (xii) the costs of any third parties retained to provide services to Company. In addition to the foregoing, the Company will reimburse the Manager for actual expenses incurred on the Company’s behalf in connection with the special servicing of non-performing assets. Whether an asset is deemed to be non-performing is in the sole discretion of the Manager.</w:t>
        <w:br/>
        <w:t xml:space="preserve">  The Company shall not be required to pay, and the Manager shall not be entitled to reimbursement for, (i) ordinary and usual office overhead expenses of the Manager or any of its Affiliates (including rent, etc.), (ii) salaries or other compensation of the employees of the Manager or any of its Affiliate, or (iii) expenses of the Manager’s or any of its Affiliate’s registration as an investment adviser or other compliance with the U.S. Investment Advisers Act of 1940, as amended, or any corresponding state law. It is acknowledged that, concurrently with the formation of the Company, the Manager may form other investment vehicles that will have similar investment strategies to the Company. Formation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28 </w:t>
        <w:br/>
        <w:t xml:space="preserve">    Section 5.12.      Semi-Annual Determination of Net Asset Value. At the end of each semi-annual period, or such other period as determined by the Manager in its sole discretion, but no less frequently than annually, beginning December 31, 2019, the Sponsor’s internal accountants and asset management team will calculate the Company’s NAV per share using a process that reflects (1) estimated values of each of commercial real estate assets and investments, as determined by such asset management team, including related liabilities, based upon (a) market capitalization rates, comparable sales information, interest rates, net operating income, (b) with respect to debt, default rates, discount rates and loss severity rates, (c) for properties that have development or value add plans, progress along such development or value add plan, and (d) in certain instances reports of the underlying real estate provided by an independent valuation expert, (2) the price of liquid assets for which third party market quotes are available, (3) accruals of periodic distributions and (4) estimated accruals of operating revenues and expenses. For joint venture or direct equity investments, the Sponsor primarily relies on discounted cash flow method. The Market Price per Share for a given semi-annual period shall be determined by dividing the Company’s NAV at the end of such period by the number of Common Shares Outstanding as of the end of such period, prior to giving effect to any share purchases or redemptions to be effected for such period.</w:t>
        <w:br/>
        <w:t xml:space="preserve">  The Manager may, in its discretion, retain an independent valuation expert to provide annual valuations of the commercial real estate assets and investments, including related liabilities, to be set forth in individual appraisal reports of the underlying real estate, and to update such reports if the Manager, in its discretion, determines that a material event has occurred the may materially affect the value of the Company’s commercial real estate assets and investments, including related liabilities.</w:t>
        <w:br/>
        <w:t xml:space="preserve">  ARTICLE VI</w:t>
        <w:br/>
        <w:t xml:space="preserve">  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29 </w:t>
        <w:br/>
        <w:t xml:space="preserve">    Section 6.2.        Fiscal Year. The fiscal year of the Company for tax and financial reporting purposes shall be a calendar year ending December 31.</w:t>
        <w:br/>
        <w:t xml:space="preserve">  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ARTICLE VII</w:t>
        <w:br/>
        <w:t xml:space="preserve">  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w:t>
        <w:br/>
        <w:t xml:space="preserve">  DISSOLUTION, TERMINATION AND LIQUIDATION</w:t>
        <w:br/>
        <w:t xml:space="preserve">  Section 8.1.        Dissolution and Termination.</w:t>
        <w:br/>
        <w:t xml:space="preserve">  (a)        The Company shall not be dissolved by the admission of Substitute Members or Additional Members. The Company shall dissolve, and its affairs shall be wound up, upon:</w:t>
        <w:br/>
        <w:t xml:space="preserve">  (i)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(ii)            the sale, exchange or other disposition of all or substantially all of the assets and properties of the Company;</w:t>
        <w:br/>
        <w:t xml:space="preserve">  (iii)           the entry of a decree of judicial dissolution of the Company pursuant to the provisions of the Delaware Act; or</w:t>
        <w:br/>
        <w:t xml:space="preserve">  (iv)           at any time that there are no members of the Company, unless the business of the Company is continued in accordance with the Delaware Act.</w:t>
        <w:br/>
        <w:t xml:space="preserve">  30 </w:t>
        <w:br/>
        <w:t xml:space="preserve">    Section 8.2.         Liquidator. Upon dissolution of the Company, the Manager shall select one or more Persons to act as Liquidator.</w:t>
        <w:br/>
        <w:t xml:space="preserve">  In the case of a dissolution of the Company, (i) the Liquidator (if other than the Manager) shall be entitled to receive such compensation for its services as may be separately approved by the affirmative vote of the holders of not less than a majority of the Common Shares then Outstanding entitled to vote on such liquidation;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31 </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ARTICLE IX</w:t>
        <w:br/>
        <w:t xml:space="preserve">  AMENDMENT OF AGREEMENT</w:t>
        <w:br/>
        <w:t xml:space="preserve">  Section 9.1.         General. 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 (i) affects the Members disproportionately or (ii) materially and adversely affects the rights of the Members. If the Manager desires to amend any provision of this Agreement in a manner that would require the vote or consent of Members, then it shall first adopt a resolution setting forth the amendment proposed, declaring its advisability, and then (i) call a special meeting of the Members entitled to vote in respect thereof for the consideration of such amendment or (ii) seek the written consent of the Members in accordance with Section 11.6.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w:t>
        <w:br/>
        <w:t xml:space="preserve">  32 </w:t>
        <w:br/>
        <w:t xml:space="preserve">    Section 9.2.         Super-Majority Amendments. Notwithstanding Section 9.1, any alteration or amendment to this Section 9.2 or Section 5.2 that (i) affects the Members disproportionately or (ii) materially and adversely affects the rights of the Members, will require the affirmative vote or consent of the Manager and the holders of Outstanding Common Shares of the Company representing at least two-thirds of the total votes that may be cast by all such Outstanding Common Shares, voting together as a single class.</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 (i) does not adversely affect the Members (including adversely affecting the holders of any particular class or series of Shares as compared to other holders of other classes or series of Shares, if any classes or series are established) in any material respect, (ii) to be necessary or appropriate to satisfy any requirements, conditions or guidelines contained in any opinion, directive, order, ruling or regulation of any federal or state agency or judicial authority or contained in any federal or state statute (including the Delaware Act),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 (iv) to be necessary or appropriate in connection with action taken by the Manager pursuant to Section 3.8, or (v) is required to effect the intent expressed in any Offering Document or the intent of the provisions of this Agreement or is otherwise contemplated by this Agreement;</w:t>
        <w:br/>
        <w:t xml:space="preserve">  33 </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10.3;</w:t>
        <w:br/>
        <w:t xml:space="preserve">  (j)         a merger, conversion or conveyance pursuant to Section 10.3(d);</w:t>
        <w:br/>
        <w:t xml:space="preserve">  (k)        a Roll-Up Transaction pursuant to Section 10.6 (unless Member approval is required in such situation by law or regulations); and</w:t>
        <w:br/>
        <w:t xml:space="preserve">  (l)          any other amendments substantially similar to the foregoing or any other amendment expressly permitted in this Agreement to be made by the Manager acting alone;</w:t>
        <w:br/>
        <w:t xml:space="preserve">  Section 9.4.         Certain Amendment Requirements.</w:t>
        <w:br/>
        <w:t xml:space="preserve">  (a)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(b)        Notwithstanding the provisions of Section 9.1 and Section 9.3, but subject to Section 9.2, no amendment to this Agreement may (i) enlarge the obligations of any Member without its consent, unless such shall be deemed to have occurred as a result of an amendment approved pursuant to Section 9.3(c), (ii) change Section 8.1(a), (iii) change the term of the Company or, (iv) except as set forth in Section 8.1(a), give any Person the right to dissolve the Company.</w:t>
        <w:br/>
        <w:t xml:space="preserve">  34 </w:t>
        <w:br/>
        <w:t xml:space="preserve">    ARTICLE X</w:t>
        <w:br/>
        <w:t xml:space="preserve">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Section 10.2.      Procedure for Merger, Consolidation or Conversion. A merger, consolidation or conversion of the Company pursuant to this Article 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(vii)          such other provisions with respect to the proposed merger or consolidation that the Manager determines to be necessary or appropriate.</w:t>
        <w:br/>
        <w:t xml:space="preserve">  35 </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and properties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36 </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ARTICLE XI</w:t>
        <w:br/>
        <w:t xml:space="preserve">  MEMBERS’ VOTING POWERS AND MEETING</w:t>
        <w:br/>
        <w:t xml:space="preserve">  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37 </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ARTICLE XII</w:t>
        <w:br/>
        <w:t xml:space="preserve">  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xxxxxxxxxxx@xxxxxxxx.xxx. The Manager and its officers may rely and shall be protected in relying on any notice or other document from a Member or other Person if believed by it to be genuine.</w:t>
        <w:br/>
        <w:t xml:space="preserve">  38 </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w:t>
        <w:br/>
        <w:t xml:space="preserve">  Section 12.8.      Applicable Law. This Agreement shall be construed in accordance with and governed by the laws of the State of Delaware without regard to principles of conflict of laws. Each Member (i) irrevocably submits to the non-exclusive jurisdiction and venue of any Delaware state court or U.S. federal court sitting in Wilmington, Delaware in any action arising out of this Agreement and (ii) consents to the service of process by mail. Nothing herein shall affect the right of any party to serve legal process in any manner permitted by law or affect its right to bring any action in any other court.</w:t>
        <w:br/>
        <w:t xml:space="preserve">  39 </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ARTICLE XIII</w:t>
        <w:br/>
        <w:t xml:space="preserve">  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w:t>
        <w:br/>
        <w:t xml:space="preserve">  40 </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13.8.</w:t>
        <w:br/>
        <w:t xml:space="preserve">  “Excepted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 (i) a public offering registered under the Securities Act or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w:t>
        <w:br/>
        <w:t xml:space="preserve">  41 </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 (a) the granting or exercise of any option (or any disposition of any option) or entering into any agreement for the sale, transfer or other disposition of Shares (or of Beneficial Ownership or Constructive Ownership of Shares), (b) any disposition of any securities or rights convertible into or exchangeable for Shares or any interest in Shares or any exercise of any such conversion or exchange right and (c) Transfers of interests in other entities that result in changes in Beneficial Ownership or Constructive Ownership of Shares;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(1) No Person, other than an Excepted Holder, shall Beneficially Own or Constructively Own Shares in excess of the Aggregate Ownership Limit, (2) no Person, other than an Excepted Holder, shall Beneficially Own or Constructively Own Common Shares in excess of the Common Share Ownership Limit and (3) no Excepted Holder shall Beneficially Own or Constructively Own Shares in excess of the Excepted Holder Limit for such Excepted Holder.</w:t>
        <w:br/>
        <w:t xml:space="preserve">  42 </w:t>
        <w:br/>
        <w:t xml:space="preserve">    (ii)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 (A) would result in the Company owning (actually or Constructively) an interest in a tenant that is described in Section 856(d)(2)(B) of the Code or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 .</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 .</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43 </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w:t>
        <w:br/>
        <w:t xml:space="preserve">  44 </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 may Beneficially Own or Constructively Own Shares (or securities convertible into or exchangeable for Shares ) in excess of the Aggregate Ownership Limit, the Common Share Ownership Limit, or both such limits, but only to the extent necessary to facilitate such public offering or private placement.</w:t>
        <w:br/>
        <w:t xml:space="preserve">  45 </w:t>
        <w:br/>
        <w:t xml:space="preserve">    (d)               The Manager may only reduce the Excepted Holder Limit for an Excepted Holder:</w:t>
        <w:br/>
        <w:t xml:space="preserve">  (i)                 with the written consent of such Excepted Holder at any time, or</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 ..</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w:t>
        <w:br/>
        <w:t xml:space="preserve">  46 </w:t>
        <w:br/>
        <w:t xml:space="preserve">    Section 13.10.  Legend. Each certificate for Shares ,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Second Amended and Restated Operating Agreement of Fundrise Development eREIT, LLC, as may be amended from time to time (the “Operating Agreement”), (i) no Person may Beneficially Own or Constructively Own Common Shares in excess of 9.8 percent (in value or number of shares, whichever is more restrictive) of the Outstanding Common Shares ,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47 </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(b)               Status of Shares Held by the Trustee. Shares held by the Trustee shall be issued and Outstanding Shares .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 (i) to rescind as void any vote cast by a Prohibited Owner prior to the discovery by the Company that the Shares have been transferred to the Trustee and (ii) to recast such vote in accordance with the desires of the Trustee acting for the benefit of the Charitable Beneficiary;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48 </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 (1) the price paid by the Prohibited Owner for the Shares or, if the event causing the Shares to be held in the Trust did not involve a purchase of such Shares at Market Price, the Market Price of the Shares on the day of the event causing the Shares to be held in the Trust and (2) the price per Share received by the Trustee (net of any commissions and other expenses of sale) from the sale or other disposition of the Shares held in the Trust.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 (i) such Shares shall be deemed to have been sold on behalf of the Trust and (ii) to the extent that the Prohibited Owner received an amount for such Shares that exceeds the amount that such Prohibited Owner was entitled to receive pursuant to this Section 13.11(d), such excess shall be paid to the Trustee upon demand.</w:t>
        <w:br/>
        <w:t xml:space="preserve">  (e)               Purchase Right in Shares Transferred to the Trustee. Shares transferred to the Trustee shall be deemed to have been offered for sale to the Company, or its designee, at a price per Share equal to the lesser of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 (ii) the Market Price on the date the Company, or its designee, accepts such offer. 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Section 13.12.  Enforcement. The Company is authorized specifically to seek equitable relief, including injunctive relief, to enforce the provisions of this Article XIII.</w:t>
        <w:br/>
        <w:t xml:space="preserve">  49 </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50 </w:t>
        <w:br/>
        <w:t xml:space="preserve">    IN WITNESS WHEREOF, this Agreement has been executed as of the date first written above.</w:t>
        <w:br/>
        <w:t xml:space="preserve">    MANAGER:</w:t>
        <w:br/>
        <w:t xml:space="preserve">  FUNDRISE ADVISORS, LLC</w:t>
        <w:br/>
        <w:t xml:space="preserve">  By:  /s/ Xxxxxxxx X. Xxxxxx</w:t>
        <w:br/>
        <w:t xml:space="preserve">    Name: Xxxxxxxx X. Xxxxxx</w:t>
        <w:br/>
        <w:t>Title: Chief Executive Officer</w:t>
        <w:br/>
        <w:t xml:space="preserve">    INITIAL MEMBER:</w:t>
        <w:br/>
        <w:t xml:space="preserve">  RISE COMPANIES CORP.</w:t>
        <w:br/>
        <w:t xml:space="preserve">  By:  /s/ Xxxxxxxx X. Xxxxxx</w:t>
        <w:br/>
        <w:t xml:space="preserve">    Name: Xxxxxxxx X. Xxxxxx</w:t>
        <w:br/>
        <w:t>Title: Chief Executive Officer</w:t>
        <w:br/>
        <w:t xml:space="preserve">  [Signature Page to Second Amended and Restated Operating Agreement of Fundrise Development eREIT,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