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SECOND AMENDED AND RESTATED</w:t>
        <w:br/>
        <w:t xml:space="preserve">  OPERATING AGREEMENT</w:t>
        <w:br/>
        <w:t xml:space="preserve">  OF</w:t>
        <w:br/>
        <w:t xml:space="preserve">  FUNDRISE eREIT XIV, LLC</w:t>
        <w:br/>
        <w:t xml:space="preserve">              Dated as of September 22, 2020</w:t>
        <w:br/>
        <w:t xml:space="preserve">              TABLE OF CONTENTS</w:t>
        <w:br/>
        <w:t xml:space="preserve">  Page</w:t>
        <w:br/>
        <w:t xml:space="preserve">  ARTICLE I DEFINITIONS 1</w:t>
        <w:br/>
        <w:t>Section 1.1.   Definitions 1</w:t>
        <w:br/>
        <w:t>Section 1.2.   Construction 6</w:t>
        <w:br/>
        <w:t>ARTICLE II ORGANIZATION 6</w:t>
        <w:br/>
        <w:t>Section 2.1.   Formation 6</w:t>
        <w:br/>
        <w:t>Section 2.2.   Name 6</w:t>
        <w:br/>
        <w:t>Section 2.3.   Registered Office; Registered Agent; Principal Office; Other Offices 7</w:t>
        <w:br/>
        <w:t>Section 2.4.   Purposes 7</w:t>
        <w:br/>
        <w:t>Section 2.5.   Qualification in Other Jurisdictions 7</w:t>
        <w:br/>
        <w:t>Section 2.6.   Powers 7</w:t>
        <w:br/>
        <w:t>Section 2.7.   Power of Attorney 7</w:t>
        <w:br/>
        <w:t>Section 2.8.   Term 9</w:t>
        <w:br/>
        <w:t>Section 2.9.   Certificate of Formation 9</w:t>
        <w:br/>
        <w:t>ARTICLE III MEMBERS AND SHARES 9</w:t>
        <w:br/>
        <w:t>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ARTICLE IV DISTRIBUTIONS AND REDEMPTIONS 14</w:t>
        <w:br/>
        <w:t>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15</w:t>
        <w:br/>
        <w:t>Section 4.7.   Payment of Taxes 16</w:t>
        <w:br/>
        <w:t>Section 4.8.   Absence of Certain Other Rights 16</w:t>
        <w:br/>
        <w:t>Section 4.9.   Fee Waiver Support 16</w:t>
        <w:br/>
        <w:t>ARTICLE V MANAGEMENT AND OPERATION OF BUSINESS 16</w:t>
        <w:br/>
        <w:t>Section 5.1.   Power and Authority of the Manager 16</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 xml:space="preserve">    i  </w:t>
        <w:br/>
        <w:t xml:space="preserve">    Section 5.7.   Outside Activities 25</w:t>
        <w:br/>
        <w:t>Section 5.8.   Reliance by Third Parties 26</w:t>
        <w:br/>
        <w:t>Section 5.9.   Certain Conflicts of Interest 26</w:t>
        <w:br/>
        <w:t>Section 5.10.   Fees Payable to the Manager or its Affiliates 27</w:t>
        <w:br/>
        <w:t>Section 5.11.   Reimbursement of Expenses 27</w:t>
        <w:br/>
        <w:t>Section 5.12.   Semi-Annual Determination of Net Asset Value 28</w:t>
        <w:br/>
        <w:t>ARTICLE VI BOOKS, RECORDS, ACCOUNTING AND REPORTS 29</w:t>
        <w:br/>
        <w:t>Section 6.1.   Records and Accounting 29</w:t>
        <w:br/>
        <w:t>Section 6.2.   Fiscal Year 29</w:t>
        <w:br/>
        <w:t>Section 6.3.   Reports 29</w:t>
        <w:br/>
        <w:t>ARTICLE VII TAX MATTERS 29</w:t>
        <w:br/>
        <w:t>Section 7.1.   Qualifying and Maintaining Qualification as a REIT 29</w:t>
        <w:br/>
        <w:t>ARTICLE VIII DISSOLUTION, TERMINATION AND LIQUIDATION 30</w:t>
        <w:br/>
        <w:t>Section 8.1.   Dissolution and Termination 30</w:t>
        <w:br/>
        <w:t>Section 8.2.   Liquidator 30</w:t>
        <w:br/>
        <w:t>Section 8.3.   Liquidation of the Company 31</w:t>
        <w:br/>
        <w:t>Section 8.4.   Cancellation of Certificate of Formation 31</w:t>
        <w:br/>
        <w:t>Section 8.5.   Return of Contributions 32</w:t>
        <w:br/>
        <w:t>Section 8.6.   Waiver of Partition 32</w:t>
        <w:br/>
        <w:t>ARTICLE IX AMENDMENT OF AGREEMENT 32</w:t>
        <w:br/>
        <w:t>Section 9.1.   General 32</w:t>
        <w:br/>
        <w:t>Section 9.2.   Super-Majority Amendments 32</w:t>
        <w:br/>
        <w:t>Section 9.3.   Amendments to be Adopted Solely by the Manager 32</w:t>
        <w:br/>
        <w:t>Section 9.4.   Certain Amendment Requirements 34</w:t>
        <w:br/>
        <w:t>ARTICLE X MERGER, CONSOLIDATION OR CONVERSION 34</w:t>
        <w:br/>
        <w:t>Section 10.1.   Authority 34</w:t>
        <w:br/>
        <w:t>Section 10.2.   Procedure for Merger, Consolidation or Conversion 34</w:t>
        <w:br/>
        <w:t>Section 10.3.   No Dissenters’ Rights of Appraisal 35</w:t>
        <w:br/>
        <w:t>Section 10.4.   Certificate of Merger or Conversion 36</w:t>
        <w:br/>
        <w:t>Section 10.5.   Effect of Merger 36</w:t>
        <w:br/>
        <w:t>Section 10.6.   Roll-Up Transaction or Public Listing 36</w:t>
        <w:br/>
        <w:t>ARTICLE XI MEMBERS’ VOTING POWERS AND MEETING 37</w:t>
        <w:br/>
        <w:t>Section 11.1.   Voting 37</w:t>
        <w:br/>
        <w:t>Section 11.2.   Voting Powers 37</w:t>
        <w:br/>
        <w:t>Section 11.3.   Meetings 37</w:t>
        <w:br/>
        <w:t>Section 11.4.   Record Dates 37</w:t>
        <w:br/>
        <w:t>Section 11.5.   Quorum and Required Vote 37</w:t>
        <w:br/>
        <w:t>Section 11.6.   Action by Written Consent 38</w:t>
        <w:br/>
        <w:t>Section 11.7.   Classes and Series 38</w:t>
        <w:br/>
        <w:t xml:space="preserve">    ii  </w:t>
        <w:br/>
        <w:t xml:space="preserve">    ARTICLE XII GENERAL PROVISIONS 38</w:t>
        <w:br/>
        <w:t>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39</w:t>
        <w:br/>
        <w:t>Section 12.10.   Consent of Members 39</w:t>
        <w:br/>
        <w:t>Section 12.11.   Facsimile and Electronic Signatures 40</w:t>
        <w:br/>
        <w:t>Section 12.12.   Assignment 40</w:t>
        <w:br/>
        <w:t>ARTICLE XIII RESTRICTIONS ON TRANSFER AND OWNERSHIP OF SHARES 40</w:t>
        <w:br/>
        <w:t>Section 13.1.   Definitions 40</w:t>
        <w:br/>
        <w:t>Section 13.2.   Ownership Limitations 42</w:t>
        <w:br/>
        <w:t>Section 13.3.   Remedies for Breach 43</w:t>
        <w:br/>
        <w:t>Section 13.4.   Notice of Restricted Transfer 43</w:t>
        <w:br/>
        <w:t>Section 13.5.   Owners Required To Provide Information 44</w:t>
        <w:br/>
        <w:t>Section 13.6.   Remedies Not Limited 44</w:t>
        <w:br/>
        <w:t>Section 13.7.   Ambiguity 44</w:t>
        <w:br/>
        <w:t>Section 13.8.   Exceptions 45</w:t>
        <w:br/>
        <w:t>Section 13.9.   Increase or Decrease in Aggregate Ownership and Common Share Ownership Limits 46</w:t>
        <w:br/>
        <w:t>Section 13.10.   Legend 46</w:t>
        <w:br/>
        <w:t>Section 13.11.   Transfer of Shares in Trust 47</w:t>
        <w:br/>
        <w:t>Section 13.12.   Enforcement 49</w:t>
        <w:br/>
        <w:t>Section 13.13.   Non-Waiver 49</w:t>
        <w:br/>
        <w:t>Section 13.14.   Severability 49</w:t>
        <w:br/>
        <w:t xml:space="preserve">    iii  </w:t>
        <w:br/>
        <w:t xml:space="preserve">    This SECOND AMENDED AND RESTATED OPERATING AGREEMENT OF FUNDRISE eREIT XIV, LLC is dated as of September 22, 2020. Capitalized terms used herein without definition shall have the respective meanings ascribed thereto in Section 1.1 or Section 13.1.</w:t>
        <w:br/>
        <w:t xml:space="preserve">  WHEREAS, the Company was originally formed as Fundrise Income eREIT VI, LLC under the Delaware Act pursuant to that certain Certificate of Formation filed with the Secretary of State of the State of Delaware on June 4, 2019, as amended by that certain Certificate of Amendment filed with the Secretary of State of the State of Delaware on September 21, 2020 (the “Certificate of Formation”), and that certain Limited Liability Company Operating Agreement of Fundrise Income eREIT VI, LLC, dated as of June 10, 2019, as amended by that certain Amended and Restated Limited Liability Company Agreement of Fundrise Income eREIT VI, LLC, dated as of December 6, 2019 (the “Operating Agreement”);</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br/>
        <w:t>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 </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eREIT XIV,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1  </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eREIT XIV,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“Fee Waiver Period” has the meaning assigned to such term in Section 5.4(a)4.9.</w:t>
        <w:br/>
        <w:t xml:space="preserve">  “Formation Expenses” means all third party charges and out-of-pocket costs and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w:t>
        <w:br/>
        <w:t xml:space="preserve">    2  </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September 30, 2020.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3  </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024-11105) filed by the Company with the Commission on October 29, 2019, and the offering circular filed pursuant to Rule 253(g)(2) of the Securities Act on December 6,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4  </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5  </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eREIT XIV,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6  </w:t>
        <w:br/>
        <w:t xml:space="preserve">    Section 2.3.          Registered Office; Registered Agent; Principal Office; Other Offices. Unless and until changed by the Manager, the address of the registered office of the Company in the State of Delaware is 000 Xxxxxxxx Xxxxxx Xxxxx 000-X, Xxxx xx Xxxxxxxxxx, Xxxxxx of Newcastle, 19801, and the name of its registered agent at such address is United States Corporation Agents, Inc. The principal office of the Company shall be located at 00 Xxxxxx Xxxxxx XX 0xx Xxxxx,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7  </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8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9  </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  </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1,000 Common Shares of the Company at $10.00 per share in a private placement on a date no later than ten (10) days after we begin to accept subscriptions to this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14  </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this Agreement, the Manager shall enter into that certain Fee Waiver Support Agreement that provides that, subject to the terms and conditions contained therein and for a period until June 30, 2020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br/>
        <w:t>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16  </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approve and oversee the Company’s debt financing strategies;</w:t>
        <w:br/>
        <w:t xml:space="preserve">  (v)               approve joint ventures, limited partnerships and other such relationships with third parties;</w:t>
        <w:br/>
        <w:t xml:space="preserve">  (vi)             approve any potential liquidity transaction;</w:t>
        <w:br/>
        <w:t xml:space="preserve">  (vii)          obtain market research and economic and statistical data in connection with the Company’s investments and investment objectives and policies;</w:t>
        <w:br/>
        <w:t xml:space="preserve">  (viii)        oversee and conduct due diligence processes related to prospective investments;</w:t>
        <w:br/>
        <w:t xml:space="preserve">  (ix)             prepare reports regarding prospective investments that include recommendations and supporting documentation necessary for the Manager’s investment committee to evaluate the proposed investments; and</w:t>
        <w:br/>
        <w:t xml:space="preserve">    17  </w:t>
        <w:br/>
        <w:t xml:space="preserve">    (x)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18  </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19  </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20  </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22  </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23  </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24  </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25  </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  </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September 30, 2020,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w:t>
        <w:br/>
        <w:t xml:space="preserve">  (c)               Acquisition / Origination Fees. The co-investors, joint venture or borrower pays up to 2.0% of the amount funded by the Company, the Sponsor or Affiliates of the Sponsor to acquire or originate commercial real estate loans or the amount invested in the case of other real estate investments, excluding any acquisition and origination expenses and any debt attributable to such investments.</w:t>
        <w:br/>
        <w:t xml:space="preserve">  (d)               Disposition Fees. The Company will reimburse the Manager for actual expenses incurred on our behalf in connection with the liquidation of equity investments in real estate, and we will pay up to 1.50% of the gross proceeds from such sale if the Manager is acting as the real estate developer or is engaged by the developer to sell the project.</w:t>
        <w:br/>
        <w:t xml:space="preserve">  Section 5.11.      Reimbursement of Expenses. The Company shall pay or reimburse the Manager and its Affiliates for the following:</w:t>
        <w:br/>
        <w:t xml:space="preserve">  (a)               Formation Expenses.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  </w:t>
        <w:br/>
        <w:t xml:space="preserve">    27  </w:t>
        <w:br/>
        <w:t xml:space="preserve">    (b)               Operating Expenses. All third party charges and out-of-pocket costs and expenses incurred by the Manager or its Affiliates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Semi-Annual Determination of Net Asset Value. At the end of each semi-annual period, or such other period as determined by the Manager in its sole discretion, but no less frequently than annually, beginning September 30, 2020, the Sponsor’s internal accountants and asset management team will calculate the Company’s NAV per share using a process that reflects (1) estimated values of each of commercial real estate assets and investments, as determined by such asset management team, including related liabilities, based upon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(2) the price of liquid assets for which third party market quotes are available, (3) accruals of periodic distributions and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28  </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br/>
        <w:t>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29  </w:t>
        <w:br/>
        <w:t xml:space="preserve">    ARTICLE VII</w:t>
        <w:br/>
        <w:br/>
        <w:t>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br/>
        <w:t>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30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31  </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br/>
        <w:t>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32  </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33  </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br/>
        <w:t>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34  </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35  </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36  </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ARTICLE XI</w:t>
        <w:br/>
        <w:br/>
        <w:t>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br/>
        <w:t>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39  </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br/>
        <w:t>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40  </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41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42  </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  </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44  </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45  </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46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eREIT XIV,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47  </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48  </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49  </w:t>
        <w:br/>
        <w:t xml:space="preserve">    IN WITNESS WHEREOF, this Agreement has been executed as of the date first written above.</w:t>
        <w:br/>
        <w:t xml:space="preserve">    MANAGER:  </w:t>
        <w:br/>
        <w:t xml:space="preserve">        FUNDRISE ADVISORS, LLC  </w:t>
        <w:br/>
        <w:t xml:space="preserve">              By:    </w:t>
        <w:br/>
        <w:t xml:space="preserve">    Name: Xxxxxxxx X. Xxxxxx  </w:t>
        <w:br/>
        <w:t xml:space="preserve">    Title: Chief Executive Officer  </w:t>
        <w:br/>
        <w:t xml:space="preserve">                  INITIAL MEMBER:  </w:t>
        <w:br/>
        <w:t xml:space="preserve">        RISE COMPANIES CORP.  </w:t>
        <w:br/>
        <w:t xml:space="preserve">              By:    </w:t>
        <w:br/>
        <w:t xml:space="preserve">    Name: Xxxxxxxx X. Xxxxxx  </w:t>
        <w:br/>
        <w:t xml:space="preserve">    Title: Chief Executive Officer  </w:t>
        <w:br/>
        <w:t xml:space="preserve">            [Signature Page to Second Amended and Restated Operating Agreement of Fundrise eREIT XIV,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